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91"/>
        <w:tblW w:w="9765" w:type="dxa"/>
        <w:tblLook w:val="04A0" w:firstRow="1" w:lastRow="0" w:firstColumn="1" w:lastColumn="0" w:noHBand="0" w:noVBand="1"/>
      </w:tblPr>
      <w:tblGrid>
        <w:gridCol w:w="3369"/>
        <w:gridCol w:w="3402"/>
        <w:gridCol w:w="2994"/>
      </w:tblGrid>
      <w:tr w:rsidR="003B4CA1" w:rsidRPr="00D3287B" w:rsidTr="003B4CA1">
        <w:tc>
          <w:tcPr>
            <w:tcW w:w="9765" w:type="dxa"/>
            <w:gridSpan w:val="3"/>
          </w:tcPr>
          <w:p w:rsidR="003B4CA1" w:rsidRPr="00D3287B" w:rsidRDefault="003B4CA1" w:rsidP="00CB045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2AE">
              <w:rPr>
                <w:rFonts w:ascii="標楷體" w:eastAsia="標楷體" w:hAnsi="標楷體" w:hint="eastAsia"/>
                <w:sz w:val="28"/>
                <w:szCs w:val="28"/>
              </w:rPr>
              <w:t>桃園縣政府暨所屬各機關學校公務員酒後駕車處理原則</w:t>
            </w:r>
            <w:r w:rsidR="005E0DA9">
              <w:rPr>
                <w:rFonts w:ascii="標楷體" w:eastAsia="標楷體" w:hAnsi="標楷體" w:hint="eastAsia"/>
                <w:sz w:val="28"/>
                <w:szCs w:val="28"/>
              </w:rPr>
              <w:t>第三點修正</w:t>
            </w:r>
            <w:r w:rsidRPr="008752AE">
              <w:rPr>
                <w:rFonts w:ascii="標楷體" w:eastAsia="標楷體" w:hAnsi="標楷體" w:hint="eastAsia"/>
                <w:sz w:val="28"/>
                <w:szCs w:val="28"/>
              </w:rPr>
              <w:t>對照表</w:t>
            </w:r>
          </w:p>
        </w:tc>
      </w:tr>
      <w:tr w:rsidR="0093230E" w:rsidRPr="00D3287B" w:rsidTr="00E73502">
        <w:tc>
          <w:tcPr>
            <w:tcW w:w="3369" w:type="dxa"/>
          </w:tcPr>
          <w:p w:rsidR="0093230E" w:rsidRPr="0093230E" w:rsidRDefault="0093230E" w:rsidP="006151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修正名稱</w:t>
            </w:r>
          </w:p>
        </w:tc>
        <w:tc>
          <w:tcPr>
            <w:tcW w:w="3402" w:type="dxa"/>
          </w:tcPr>
          <w:p w:rsidR="0093230E" w:rsidRPr="0093230E" w:rsidRDefault="0093230E" w:rsidP="006151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現行名稱</w:t>
            </w:r>
          </w:p>
        </w:tc>
        <w:tc>
          <w:tcPr>
            <w:tcW w:w="2994" w:type="dxa"/>
          </w:tcPr>
          <w:p w:rsidR="0093230E" w:rsidRPr="0093230E" w:rsidRDefault="005E0DA9" w:rsidP="006151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93230E" w:rsidRPr="00DD0644" w:rsidTr="00E73502">
        <w:tc>
          <w:tcPr>
            <w:tcW w:w="3369" w:type="dxa"/>
          </w:tcPr>
          <w:p w:rsidR="0093230E" w:rsidRPr="0093230E" w:rsidRDefault="0093230E" w:rsidP="0093230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52AE">
              <w:rPr>
                <w:rFonts w:ascii="標楷體" w:eastAsia="標楷體" w:hAnsi="標楷體" w:hint="eastAsia"/>
                <w:sz w:val="28"/>
                <w:szCs w:val="28"/>
              </w:rPr>
              <w:t>桃園縣政府暨所屬各機關學校</w:t>
            </w:r>
            <w:r w:rsidRPr="00E7350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員工</w:t>
            </w:r>
            <w:r w:rsidRPr="008752AE">
              <w:rPr>
                <w:rFonts w:ascii="標楷體" w:eastAsia="標楷體" w:hAnsi="標楷體" w:hint="eastAsia"/>
                <w:sz w:val="28"/>
                <w:szCs w:val="28"/>
              </w:rPr>
              <w:t>酒後駕車處理原則</w:t>
            </w:r>
          </w:p>
        </w:tc>
        <w:tc>
          <w:tcPr>
            <w:tcW w:w="3402" w:type="dxa"/>
          </w:tcPr>
          <w:p w:rsidR="0093230E" w:rsidRPr="0093230E" w:rsidRDefault="0093230E" w:rsidP="0093230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52AE">
              <w:rPr>
                <w:rFonts w:ascii="標楷體" w:eastAsia="標楷體" w:hAnsi="標楷體" w:hint="eastAsia"/>
                <w:sz w:val="28"/>
                <w:szCs w:val="28"/>
              </w:rPr>
              <w:t>桃園縣政府暨所屬各機關學校公務員酒後駕車處理原則</w:t>
            </w:r>
          </w:p>
        </w:tc>
        <w:tc>
          <w:tcPr>
            <w:tcW w:w="2994" w:type="dxa"/>
          </w:tcPr>
          <w:p w:rsidR="0093230E" w:rsidRPr="0093230E" w:rsidRDefault="00DD0644" w:rsidP="00DD06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本處理原則之適用對象，尚包含技工、工</w:t>
            </w:r>
            <w:r w:rsidR="00F64315">
              <w:rPr>
                <w:rFonts w:ascii="標楷體" w:eastAsia="標楷體" w:hAnsi="標楷體" w:hint="eastAsia"/>
                <w:sz w:val="28"/>
                <w:szCs w:val="28"/>
              </w:rPr>
              <w:t>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及駕駛等非適用公務人員考績法及公務員服務法之人員，爰將「公務員」修正為「員工」，以符明確。</w:t>
            </w:r>
          </w:p>
        </w:tc>
      </w:tr>
      <w:tr w:rsidR="003B4CA1" w:rsidRPr="00D3287B" w:rsidTr="00E73502">
        <w:tc>
          <w:tcPr>
            <w:tcW w:w="3369" w:type="dxa"/>
          </w:tcPr>
          <w:p w:rsidR="003B4CA1" w:rsidRPr="00D3287B" w:rsidRDefault="003B4CA1" w:rsidP="003B4C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87B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6E4AD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</w:p>
        </w:tc>
        <w:tc>
          <w:tcPr>
            <w:tcW w:w="3402" w:type="dxa"/>
          </w:tcPr>
          <w:p w:rsidR="003B4CA1" w:rsidRPr="00D3287B" w:rsidRDefault="003B4CA1" w:rsidP="003B4C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87B">
              <w:rPr>
                <w:rFonts w:ascii="標楷體" w:eastAsia="標楷體" w:hAnsi="標楷體" w:hint="eastAsia"/>
                <w:sz w:val="28"/>
                <w:szCs w:val="28"/>
              </w:rPr>
              <w:t>現行</w:t>
            </w:r>
            <w:r w:rsidR="006E4AD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</w:p>
        </w:tc>
        <w:tc>
          <w:tcPr>
            <w:tcW w:w="2994" w:type="dxa"/>
          </w:tcPr>
          <w:p w:rsidR="003B4CA1" w:rsidRPr="00D3287B" w:rsidRDefault="003B4CA1" w:rsidP="003B4C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87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3B4CA1" w:rsidRPr="00D3287B" w:rsidTr="00E73502">
        <w:tc>
          <w:tcPr>
            <w:tcW w:w="3369" w:type="dxa"/>
          </w:tcPr>
          <w:p w:rsidR="003B4CA1" w:rsidRPr="00E73502" w:rsidRDefault="003B4CA1" w:rsidP="003B4CA1">
            <w:pPr>
              <w:spacing w:line="400" w:lineRule="exact"/>
              <w:ind w:leftChars="-17" w:left="536" w:hangingChars="206" w:hanging="5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D75784" w:rsidRPr="00E73502">
              <w:rPr>
                <w:rFonts w:ascii="標楷體" w:eastAsia="標楷體" w:hAnsi="標楷體" w:hint="eastAsia"/>
                <w:sz w:val="28"/>
                <w:szCs w:val="28"/>
              </w:rPr>
              <w:t>公務人員酒後駕車，按其情節嚴重，建議懲處基準如附表。</w:t>
            </w:r>
          </w:p>
          <w:p w:rsidR="003B4CA1" w:rsidRPr="00D3287B" w:rsidRDefault="003B4CA1" w:rsidP="003B4CA1">
            <w:pPr>
              <w:spacing w:line="400" w:lineRule="exact"/>
              <w:ind w:leftChars="217" w:left="535" w:hangingChars="5" w:hanging="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502">
              <w:rPr>
                <w:rFonts w:ascii="標楷體" w:eastAsia="標楷體" w:hAnsi="標楷體" w:hint="eastAsia"/>
                <w:sz w:val="28"/>
                <w:szCs w:val="28"/>
              </w:rPr>
              <w:t>主管人員如有監督考核不周之事實，得依違失情節輕重，依本府及所屬各機關學校公務人員平時獎懲基準，核予適當懲處。</w:t>
            </w:r>
          </w:p>
        </w:tc>
        <w:tc>
          <w:tcPr>
            <w:tcW w:w="3402" w:type="dxa"/>
          </w:tcPr>
          <w:p w:rsidR="00E73502" w:rsidRPr="00E73502" w:rsidRDefault="00E73502" w:rsidP="00E73502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537" w:hanging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502">
              <w:rPr>
                <w:rFonts w:ascii="標楷體" w:eastAsia="標楷體" w:hAnsi="標楷體" w:hint="eastAsia"/>
                <w:sz w:val="28"/>
                <w:szCs w:val="28"/>
              </w:rPr>
              <w:t>公務人員酒後駕車，按其情節嚴重，建議懲處基準如附表。</w:t>
            </w:r>
          </w:p>
          <w:p w:rsidR="003B4CA1" w:rsidRPr="00D3287B" w:rsidRDefault="00E73502" w:rsidP="00015DB3">
            <w:pPr>
              <w:spacing w:line="400" w:lineRule="exact"/>
              <w:ind w:leftChars="223" w:left="5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502">
              <w:rPr>
                <w:rFonts w:ascii="標楷體" w:eastAsia="標楷體" w:hAnsi="標楷體" w:hint="eastAsia"/>
                <w:sz w:val="28"/>
                <w:szCs w:val="28"/>
              </w:rPr>
              <w:t>主管人員如有監督考核不周之事實，得依違失情節輕重，依本府及所屬各機關學校公務人員平時獎懲基準，核予適當懲處。</w:t>
            </w:r>
          </w:p>
        </w:tc>
        <w:tc>
          <w:tcPr>
            <w:tcW w:w="2994" w:type="dxa"/>
          </w:tcPr>
          <w:p w:rsidR="0009268F" w:rsidRPr="0009268F" w:rsidRDefault="00015DB3" w:rsidP="00CB0459">
            <w:pPr>
              <w:spacing w:line="400" w:lineRule="exact"/>
              <w:ind w:left="3" w:hangingChars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本點</w:t>
            </w:r>
            <w:r w:rsidR="005E0DA9">
              <w:rPr>
                <w:rFonts w:ascii="標楷體" w:eastAsia="標楷體" w:hAnsi="標楷體" w:hint="eastAsia"/>
                <w:sz w:val="28"/>
                <w:szCs w:val="28"/>
              </w:rPr>
              <w:t>附表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內文字</w:t>
            </w:r>
            <w:r w:rsidR="00CB0459">
              <w:rPr>
                <w:rFonts w:ascii="標楷體" w:eastAsia="標楷體" w:hAnsi="標楷體" w:hint="eastAsia"/>
                <w:sz w:val="28"/>
                <w:szCs w:val="28"/>
              </w:rPr>
              <w:t>酌作修正</w:t>
            </w:r>
            <w:bookmarkStart w:id="0" w:name="_GoBack"/>
            <w:bookmarkEnd w:id="0"/>
            <w:r w:rsidR="00E73502" w:rsidRPr="00E7350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D3287B" w:rsidRDefault="00D3287B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Pr="005E0DA9" w:rsidRDefault="005E0DA9" w:rsidP="005E0DA9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5E0DA9">
        <w:rPr>
          <w:rFonts w:ascii="標楷體" w:eastAsia="標楷體" w:hAnsi="標楷體" w:hint="eastAsia"/>
          <w:sz w:val="28"/>
          <w:szCs w:val="28"/>
        </w:rPr>
        <w:lastRenderedPageBreak/>
        <w:t>附表</w:t>
      </w:r>
    </w:p>
    <w:p w:rsidR="005E0DA9" w:rsidRPr="005E0DA9" w:rsidRDefault="005E0DA9" w:rsidP="005E0DA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5E0DA9">
        <w:rPr>
          <w:rFonts w:ascii="標楷體" w:eastAsia="標楷體" w:hAnsi="標楷體" w:hint="eastAsia"/>
          <w:sz w:val="28"/>
          <w:szCs w:val="28"/>
        </w:rPr>
        <w:t>桃園縣政府暨所屬各機關學校公務員酒後駕車建議懲處基準</w:t>
      </w:r>
    </w:p>
    <w:tbl>
      <w:tblPr>
        <w:tblStyle w:val="2"/>
        <w:tblW w:w="10261" w:type="dxa"/>
        <w:jc w:val="center"/>
        <w:tblInd w:w="-1134" w:type="dxa"/>
        <w:tblLook w:val="04A0" w:firstRow="1" w:lastRow="0" w:firstColumn="1" w:lastColumn="0" w:noHBand="0" w:noVBand="1"/>
      </w:tblPr>
      <w:tblGrid>
        <w:gridCol w:w="536"/>
        <w:gridCol w:w="3376"/>
        <w:gridCol w:w="2071"/>
        <w:gridCol w:w="1936"/>
        <w:gridCol w:w="2342"/>
      </w:tblGrid>
      <w:tr w:rsidR="00015DB3" w:rsidRPr="005E0DA9" w:rsidTr="0056308E">
        <w:trPr>
          <w:trHeight w:val="463"/>
          <w:tblHeader/>
          <w:jc w:val="center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B3" w:rsidRPr="005E0DA9" w:rsidRDefault="00015DB3" w:rsidP="005E0DA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B3" w:rsidRPr="005E0DA9" w:rsidRDefault="00015DB3" w:rsidP="005E0DA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修正</w:t>
            </w:r>
            <w:r w:rsidR="00AB62C4">
              <w:rPr>
                <w:rFonts w:ascii="標楷體" w:eastAsia="標楷體" w:hAnsi="標楷體" w:cs="新細明體" w:hint="eastAsia"/>
                <w:kern w:val="0"/>
                <w:szCs w:val="24"/>
              </w:rPr>
              <w:t>規定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B3" w:rsidRPr="005E0DA9" w:rsidRDefault="00015DB3" w:rsidP="00AB62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現行</w:t>
            </w:r>
            <w:r w:rsidR="00AB62C4">
              <w:rPr>
                <w:rFonts w:ascii="標楷體" w:eastAsia="標楷體" w:hAnsi="標楷體" w:cs="新細明體" w:hint="eastAsia"/>
                <w:kern w:val="0"/>
                <w:szCs w:val="24"/>
              </w:rPr>
              <w:t>規定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DB3" w:rsidRPr="005E0DA9" w:rsidRDefault="00015DB3" w:rsidP="005E0DA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說明</w:t>
            </w:r>
          </w:p>
        </w:tc>
      </w:tr>
      <w:tr w:rsidR="00015DB3" w:rsidRPr="005E0DA9" w:rsidTr="0056308E">
        <w:trPr>
          <w:trHeight w:val="463"/>
          <w:tblHeader/>
          <w:jc w:val="center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B3" w:rsidRPr="005E0DA9" w:rsidRDefault="00015DB3" w:rsidP="00F414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B3" w:rsidRPr="005E0DA9" w:rsidRDefault="00015DB3" w:rsidP="00F414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最低懲處額度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B3" w:rsidRPr="005E0DA9" w:rsidRDefault="00015DB3" w:rsidP="005E0DA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最低懲處額度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B3" w:rsidRPr="005E0DA9" w:rsidRDefault="00015DB3" w:rsidP="005E0DA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0644" w:rsidRPr="005E0DA9" w:rsidTr="0056308E">
        <w:trPr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44" w:rsidRPr="005E0DA9" w:rsidRDefault="00DD0644" w:rsidP="005E0DA9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5E0DA9">
              <w:rPr>
                <w:rFonts w:eastAsia="標楷體" w:hint="eastAsia"/>
                <w:szCs w:val="24"/>
              </w:rPr>
              <w:t>酒駕未肇事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44" w:rsidRPr="005E0DA9" w:rsidRDefault="00DD0644" w:rsidP="005E0DA9">
            <w:pPr>
              <w:numPr>
                <w:ilvl w:val="0"/>
                <w:numId w:val="2"/>
              </w:numPr>
              <w:spacing w:line="0" w:lineRule="atLeast"/>
              <w:ind w:left="287" w:hanging="287"/>
              <w:jc w:val="both"/>
              <w:rPr>
                <w:rFonts w:eastAsia="標楷體"/>
                <w:szCs w:val="24"/>
              </w:rPr>
            </w:pPr>
            <w:r w:rsidRPr="005E0DA9">
              <w:rPr>
                <w:rFonts w:eastAsia="標楷體" w:hint="eastAsia"/>
                <w:szCs w:val="24"/>
              </w:rPr>
              <w:t>吐氣酒精濃度達每公升０‧０一毫克以上未滿０‧一五毫克者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44" w:rsidRPr="005E0DA9" w:rsidRDefault="00DD0644" w:rsidP="00D03D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0644" w:rsidRPr="005E0DA9" w:rsidTr="0056308E">
        <w:trPr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44" w:rsidRPr="005E0DA9" w:rsidRDefault="00DD0644" w:rsidP="005E0DA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44" w:rsidRPr="005E0DA9" w:rsidRDefault="00DD0644" w:rsidP="005E0DA9">
            <w:pPr>
              <w:numPr>
                <w:ilvl w:val="0"/>
                <w:numId w:val="2"/>
              </w:numPr>
              <w:spacing w:line="0" w:lineRule="atLeast"/>
              <w:ind w:left="287" w:hanging="287"/>
              <w:jc w:val="both"/>
              <w:rPr>
                <w:rFonts w:eastAsia="標楷體"/>
                <w:szCs w:val="24"/>
              </w:rPr>
            </w:pPr>
            <w:r w:rsidRPr="005E0DA9">
              <w:rPr>
                <w:rFonts w:eastAsia="標楷體" w:hint="eastAsia"/>
                <w:szCs w:val="24"/>
              </w:rPr>
              <w:t>吐氣酒精濃度達每公升０‧一五毫克以上未滿０‧二五毫克者</w:t>
            </w:r>
            <w:r w:rsidRPr="005E0DA9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44" w:rsidRPr="005E0DA9" w:rsidRDefault="00DD0644" w:rsidP="00D03D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0644" w:rsidRPr="005E0DA9" w:rsidTr="0056308E">
        <w:trPr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44" w:rsidRPr="005E0DA9" w:rsidRDefault="00DD0644" w:rsidP="005E0DA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44" w:rsidRPr="005E0DA9" w:rsidRDefault="00DD0644" w:rsidP="005E0DA9">
            <w:pPr>
              <w:numPr>
                <w:ilvl w:val="0"/>
                <w:numId w:val="2"/>
              </w:numPr>
              <w:spacing w:line="0" w:lineRule="atLeast"/>
              <w:ind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eastAsia="標楷體" w:hint="eastAsia"/>
                <w:szCs w:val="24"/>
              </w:rPr>
              <w:t>吐氣酒精濃度達每公升０‧二五毫克以上未滿０‧四毫克者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44" w:rsidRPr="005E0DA9" w:rsidRDefault="00DD0644" w:rsidP="00D03D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記過二次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記過二次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0644" w:rsidRPr="005E0DA9" w:rsidTr="0056308E">
        <w:trPr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44" w:rsidRPr="005E0DA9" w:rsidRDefault="00DD0644" w:rsidP="005E0DA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44" w:rsidRPr="005E0DA9" w:rsidRDefault="00DD0644" w:rsidP="005E0DA9">
            <w:pPr>
              <w:numPr>
                <w:ilvl w:val="0"/>
                <w:numId w:val="2"/>
              </w:numPr>
              <w:spacing w:line="0" w:lineRule="atLeast"/>
              <w:ind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eastAsia="標楷體" w:hint="eastAsia"/>
                <w:szCs w:val="24"/>
              </w:rPr>
              <w:t>吐氣酒精濃度達每公升０‧四毫克以上者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44" w:rsidRPr="005E0DA9" w:rsidRDefault="00DD0644" w:rsidP="00D03D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記一大過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44" w:rsidRPr="005E0DA9" w:rsidRDefault="00DD0644" w:rsidP="00695C5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記一大過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0644" w:rsidRPr="005E0DA9" w:rsidTr="0056308E">
        <w:trPr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44" w:rsidRPr="005E0DA9" w:rsidRDefault="00DD0644" w:rsidP="005E0DA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44" w:rsidRPr="005E0DA9" w:rsidRDefault="00DD0644" w:rsidP="005E0DA9">
            <w:pPr>
              <w:numPr>
                <w:ilvl w:val="0"/>
                <w:numId w:val="2"/>
              </w:numPr>
              <w:spacing w:line="0" w:lineRule="atLeast"/>
              <w:ind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44" w:rsidRPr="005E0DA9" w:rsidRDefault="00DD0644" w:rsidP="00D03D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44" w:rsidRPr="005E0DA9" w:rsidRDefault="00DD0644" w:rsidP="00695C5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0644" w:rsidRPr="005E0DA9" w:rsidTr="0056308E">
        <w:trPr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44" w:rsidRPr="005E0DA9" w:rsidRDefault="00DD0644" w:rsidP="005E0DA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44" w:rsidRPr="005E0DA9" w:rsidRDefault="00DD0644" w:rsidP="005E0DA9">
            <w:pPr>
              <w:numPr>
                <w:ilvl w:val="0"/>
                <w:numId w:val="2"/>
              </w:numPr>
              <w:spacing w:line="0" w:lineRule="atLeast"/>
              <w:ind w:left="287" w:hanging="287"/>
              <w:jc w:val="both"/>
              <w:rPr>
                <w:rFonts w:eastAsia="標楷體"/>
                <w:szCs w:val="24"/>
              </w:rPr>
            </w:pPr>
            <w:r w:rsidRPr="005E0DA9">
              <w:rPr>
                <w:rFonts w:eastAsia="標楷體" w:hint="eastAsia"/>
                <w:szCs w:val="24"/>
              </w:rPr>
              <w:t>五年內有第二次以上之酒駕累犯違規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015D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依情節記過一次</w:t>
            </w:r>
          </w:p>
          <w:p w:rsidR="00DD0644" w:rsidRPr="005E0DA9" w:rsidRDefault="00DD0644" w:rsidP="00015D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至記一大過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015D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依情節記過一次</w:t>
            </w:r>
          </w:p>
          <w:p w:rsidR="00DD0644" w:rsidRPr="005E0DA9" w:rsidRDefault="00DD0644" w:rsidP="00015D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至記一大過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0644" w:rsidRPr="005E0DA9" w:rsidTr="0056308E">
        <w:trPr>
          <w:trHeight w:val="444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644" w:rsidRPr="005E0DA9" w:rsidRDefault="00DD0644" w:rsidP="005E0DA9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酒駕肇事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  <w:r w:rsidRPr="005E0DA9">
              <w:rPr>
                <w:rFonts w:eastAsia="標楷體" w:hint="eastAsia"/>
                <w:szCs w:val="24"/>
              </w:rPr>
              <w:t>酒精濃度超過標準駕車肇事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644" w:rsidRPr="005E0DA9" w:rsidRDefault="00DD0644" w:rsidP="00015DB3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依情節記過一次</w:t>
            </w:r>
          </w:p>
          <w:p w:rsidR="00DD0644" w:rsidRPr="005E0DA9" w:rsidRDefault="00DD0644" w:rsidP="00015DB3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至記一大過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644" w:rsidRPr="005E0DA9" w:rsidRDefault="00DD0644" w:rsidP="00015DB3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依情節記過一次</w:t>
            </w:r>
          </w:p>
          <w:p w:rsidR="00DD0644" w:rsidRPr="005E0DA9" w:rsidRDefault="00DD0644" w:rsidP="00015DB3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至記一大過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0644" w:rsidRPr="005E0DA9" w:rsidTr="0056308E">
        <w:trPr>
          <w:trHeight w:val="840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  <w:r w:rsidRPr="005E0DA9">
              <w:rPr>
                <w:rFonts w:eastAsia="標楷體" w:hint="eastAsia"/>
                <w:szCs w:val="24"/>
              </w:rPr>
              <w:t>酒精濃度超過標準，駕車肇事致人於死、重傷或造成重大事故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DD0644" w:rsidRPr="005E0DA9" w:rsidRDefault="00DD0644" w:rsidP="00D03D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停職並移付懲戒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DD0644" w:rsidRPr="005E0DA9" w:rsidRDefault="00DD0644" w:rsidP="00695C5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停職並移付懲戒</w:t>
            </w: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0644" w:rsidRPr="005E0DA9" w:rsidTr="0056308E">
        <w:trPr>
          <w:trHeight w:val="1128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  <w:r w:rsidRPr="005E0DA9">
              <w:rPr>
                <w:rFonts w:eastAsia="標楷體" w:hint="eastAsia"/>
                <w:szCs w:val="24"/>
              </w:rPr>
              <w:t>酒精濃度超過標準，駕車肇事致人於死、重傷並逃逸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B8327F" w:rsidP="00B832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064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得依公務人員考績法規定辦理</w:t>
            </w:r>
            <w:r w:rsidR="00DD0644"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一次記二大過專案考績免職。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015D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一次記二大過專案考績免職。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DD0644" w:rsidRDefault="00DD0644" w:rsidP="0056308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公務人員一次記二大過規定及程序，係規範於公務人員考績法</w:t>
            </w:r>
            <w:r w:rsidRPr="00DD064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本府公務人員如有左列行為，</w:t>
            </w:r>
            <w:r w:rsidR="0056308E">
              <w:rPr>
                <w:rFonts w:ascii="標楷體" w:eastAsia="標楷體" w:hAnsi="標楷體" w:cs="新細明體" w:hint="eastAsia"/>
                <w:kern w:val="0"/>
                <w:szCs w:val="24"/>
              </w:rPr>
              <w:t>所屬機關得依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該法第12條第3項規定(</w:t>
            </w:r>
            <w:r w:rsidRPr="00DD0644">
              <w:rPr>
                <w:rFonts w:ascii="標楷體" w:eastAsia="標楷體" w:hAnsi="標楷體" w:cs="新細明體" w:hint="eastAsia"/>
                <w:kern w:val="0"/>
                <w:szCs w:val="24"/>
              </w:rPr>
              <w:t>嚴重傷害政府信譽，有確實證據者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)，</w:t>
            </w:r>
            <w:r w:rsidR="0056308E">
              <w:rPr>
                <w:rFonts w:ascii="標楷體" w:eastAsia="標楷體" w:hAnsi="標楷體" w:cs="新細明體" w:hint="eastAsia"/>
                <w:kern w:val="0"/>
                <w:szCs w:val="24"/>
              </w:rPr>
              <w:t>辦理專案考績免職；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爰增列</w:t>
            </w:r>
            <w:r w:rsidR="0056308E">
              <w:rPr>
                <w:rFonts w:ascii="標楷體" w:eastAsia="標楷體" w:hAnsi="標楷體" w:cs="新細明體" w:hint="eastAsia"/>
                <w:kern w:val="0"/>
                <w:szCs w:val="24"/>
              </w:rPr>
              <w:t>法源依據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，使本規定之適法性更為明確。</w:t>
            </w:r>
          </w:p>
        </w:tc>
      </w:tr>
      <w:tr w:rsidR="00DD0644" w:rsidRPr="005E0DA9" w:rsidTr="0056308E">
        <w:trPr>
          <w:trHeight w:val="984"/>
          <w:jc w:val="center"/>
        </w:trPr>
        <w:tc>
          <w:tcPr>
            <w:tcW w:w="10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DD0644">
            <w:pPr>
              <w:spacing w:line="320" w:lineRule="exact"/>
              <w:ind w:left="341" w:hangingChars="142" w:hanging="34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:rsidR="00DD0644" w:rsidRPr="005E0DA9" w:rsidRDefault="00DD0644" w:rsidP="005E0DA9">
            <w:pPr>
              <w:spacing w:line="320" w:lineRule="exact"/>
              <w:ind w:left="389" w:hangingChars="162" w:hanging="38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1. 上開懲處累積達二大過而無獎懲抵銷者，依公務人員考績法第十二條規定，年終考績考列丁等。</w:t>
            </w:r>
          </w:p>
          <w:p w:rsidR="00DD0644" w:rsidRPr="005E0DA9" w:rsidRDefault="00DD0644" w:rsidP="00DD0644">
            <w:pPr>
              <w:spacing w:line="320" w:lineRule="exact"/>
              <w:ind w:left="370" w:hangingChars="154" w:hanging="37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2. 司法判決確定者，經判處有期徒刑確定，未受緩刑宣告，尚未執行或執行未畢者，  除已受撤職懲戒或專案考績免職者外，依公務人員任用法規定應予免職。</w:t>
            </w:r>
          </w:p>
        </w:tc>
      </w:tr>
    </w:tbl>
    <w:p w:rsidR="005E0DA9" w:rsidRDefault="005E0DA9"/>
    <w:sectPr w:rsidR="005E0DA9" w:rsidSect="00E834B0">
      <w:pgSz w:w="11906" w:h="16838"/>
      <w:pgMar w:top="1418" w:right="1700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E03" w:rsidRDefault="009E2E03" w:rsidP="00E073C6">
      <w:r>
        <w:separator/>
      </w:r>
    </w:p>
  </w:endnote>
  <w:endnote w:type="continuationSeparator" w:id="0">
    <w:p w:rsidR="009E2E03" w:rsidRDefault="009E2E03" w:rsidP="00E0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E03" w:rsidRDefault="009E2E03" w:rsidP="00E073C6">
      <w:r>
        <w:separator/>
      </w:r>
    </w:p>
  </w:footnote>
  <w:footnote w:type="continuationSeparator" w:id="0">
    <w:p w:rsidR="009E2E03" w:rsidRDefault="009E2E03" w:rsidP="00E07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FE72AE"/>
    <w:multiLevelType w:val="hybridMultilevel"/>
    <w:tmpl w:val="9A0C6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7B75DB"/>
    <w:multiLevelType w:val="hybridMultilevel"/>
    <w:tmpl w:val="566494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5B44A0"/>
    <w:multiLevelType w:val="hybridMultilevel"/>
    <w:tmpl w:val="2CFA0270"/>
    <w:lvl w:ilvl="0" w:tplc="6706C814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3D2BF5"/>
    <w:multiLevelType w:val="hybridMultilevel"/>
    <w:tmpl w:val="701A27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7B"/>
    <w:rsid w:val="00015DB3"/>
    <w:rsid w:val="00042D39"/>
    <w:rsid w:val="0004389C"/>
    <w:rsid w:val="00043F86"/>
    <w:rsid w:val="00061708"/>
    <w:rsid w:val="0009268F"/>
    <w:rsid w:val="000D0BAA"/>
    <w:rsid w:val="00146844"/>
    <w:rsid w:val="001B6967"/>
    <w:rsid w:val="001D0AEB"/>
    <w:rsid w:val="001D1F1E"/>
    <w:rsid w:val="001D20E8"/>
    <w:rsid w:val="001E41DD"/>
    <w:rsid w:val="00227F95"/>
    <w:rsid w:val="002303BC"/>
    <w:rsid w:val="00271D74"/>
    <w:rsid w:val="002727FA"/>
    <w:rsid w:val="002A1DE6"/>
    <w:rsid w:val="002D0844"/>
    <w:rsid w:val="002D78A1"/>
    <w:rsid w:val="0032390D"/>
    <w:rsid w:val="00343E42"/>
    <w:rsid w:val="003B4CA1"/>
    <w:rsid w:val="003B5B15"/>
    <w:rsid w:val="004316E3"/>
    <w:rsid w:val="004358F2"/>
    <w:rsid w:val="004539A0"/>
    <w:rsid w:val="00464228"/>
    <w:rsid w:val="00466371"/>
    <w:rsid w:val="00494376"/>
    <w:rsid w:val="00550A78"/>
    <w:rsid w:val="0056308E"/>
    <w:rsid w:val="005B0A93"/>
    <w:rsid w:val="005E0740"/>
    <w:rsid w:val="005E0DA9"/>
    <w:rsid w:val="00615113"/>
    <w:rsid w:val="00616D48"/>
    <w:rsid w:val="00646D64"/>
    <w:rsid w:val="006658E3"/>
    <w:rsid w:val="00677B09"/>
    <w:rsid w:val="006C3563"/>
    <w:rsid w:val="006E165E"/>
    <w:rsid w:val="006E4AD3"/>
    <w:rsid w:val="007868AB"/>
    <w:rsid w:val="00825C29"/>
    <w:rsid w:val="00834ADC"/>
    <w:rsid w:val="00854CD4"/>
    <w:rsid w:val="008752AE"/>
    <w:rsid w:val="008F51A9"/>
    <w:rsid w:val="0093230E"/>
    <w:rsid w:val="00972395"/>
    <w:rsid w:val="009939DC"/>
    <w:rsid w:val="009D5A8A"/>
    <w:rsid w:val="009E2E03"/>
    <w:rsid w:val="009E3D45"/>
    <w:rsid w:val="009F4C25"/>
    <w:rsid w:val="00A06CC1"/>
    <w:rsid w:val="00A26EB1"/>
    <w:rsid w:val="00A364F9"/>
    <w:rsid w:val="00AB62C4"/>
    <w:rsid w:val="00B06CEA"/>
    <w:rsid w:val="00B8327F"/>
    <w:rsid w:val="00B948C5"/>
    <w:rsid w:val="00BC142C"/>
    <w:rsid w:val="00BC412A"/>
    <w:rsid w:val="00BD00C0"/>
    <w:rsid w:val="00C21B4B"/>
    <w:rsid w:val="00C250A5"/>
    <w:rsid w:val="00C263DF"/>
    <w:rsid w:val="00C31A0C"/>
    <w:rsid w:val="00C40831"/>
    <w:rsid w:val="00C877F1"/>
    <w:rsid w:val="00C92701"/>
    <w:rsid w:val="00CB0459"/>
    <w:rsid w:val="00CC51B8"/>
    <w:rsid w:val="00D3287B"/>
    <w:rsid w:val="00D37EA0"/>
    <w:rsid w:val="00D73BCB"/>
    <w:rsid w:val="00D75784"/>
    <w:rsid w:val="00DD0644"/>
    <w:rsid w:val="00E073C6"/>
    <w:rsid w:val="00E127A2"/>
    <w:rsid w:val="00E73502"/>
    <w:rsid w:val="00E834B0"/>
    <w:rsid w:val="00EB5AA6"/>
    <w:rsid w:val="00EC6847"/>
    <w:rsid w:val="00EF66EC"/>
    <w:rsid w:val="00EF7B27"/>
    <w:rsid w:val="00F100A1"/>
    <w:rsid w:val="00F34A52"/>
    <w:rsid w:val="00F64315"/>
    <w:rsid w:val="00F84FA9"/>
    <w:rsid w:val="00F91969"/>
    <w:rsid w:val="00FB78AF"/>
    <w:rsid w:val="00FF59F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87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92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9270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1D1F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7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73C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7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73C6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77B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77B09"/>
  </w:style>
  <w:style w:type="character" w:customStyle="1" w:styleId="ad">
    <w:name w:val="註解文字 字元"/>
    <w:basedOn w:val="a0"/>
    <w:link w:val="ac"/>
    <w:uiPriority w:val="99"/>
    <w:semiHidden/>
    <w:rsid w:val="00677B09"/>
  </w:style>
  <w:style w:type="paragraph" w:styleId="ae">
    <w:name w:val="annotation subject"/>
    <w:basedOn w:val="ac"/>
    <w:next w:val="ac"/>
    <w:link w:val="af"/>
    <w:uiPriority w:val="99"/>
    <w:semiHidden/>
    <w:unhideWhenUsed/>
    <w:rsid w:val="00677B0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77B09"/>
    <w:rPr>
      <w:b/>
      <w:bCs/>
    </w:rPr>
  </w:style>
  <w:style w:type="table" w:customStyle="1" w:styleId="2">
    <w:name w:val="表格格線2"/>
    <w:basedOn w:val="a1"/>
    <w:next w:val="a3"/>
    <w:uiPriority w:val="59"/>
    <w:rsid w:val="005E0D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87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92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9270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1D1F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7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73C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7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73C6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77B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77B09"/>
  </w:style>
  <w:style w:type="character" w:customStyle="1" w:styleId="ad">
    <w:name w:val="註解文字 字元"/>
    <w:basedOn w:val="a0"/>
    <w:link w:val="ac"/>
    <w:uiPriority w:val="99"/>
    <w:semiHidden/>
    <w:rsid w:val="00677B09"/>
  </w:style>
  <w:style w:type="paragraph" w:styleId="ae">
    <w:name w:val="annotation subject"/>
    <w:basedOn w:val="ac"/>
    <w:next w:val="ac"/>
    <w:link w:val="af"/>
    <w:uiPriority w:val="99"/>
    <w:semiHidden/>
    <w:unhideWhenUsed/>
    <w:rsid w:val="00677B0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77B09"/>
    <w:rPr>
      <w:b/>
      <w:bCs/>
    </w:rPr>
  </w:style>
  <w:style w:type="table" w:customStyle="1" w:styleId="2">
    <w:name w:val="表格格線2"/>
    <w:basedOn w:val="a1"/>
    <w:next w:val="a3"/>
    <w:uiPriority w:val="59"/>
    <w:rsid w:val="005E0D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D3D3-C680-48C5-8EC9-5AFCF332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2014-02-12T09:52:00Z</cp:lastPrinted>
  <dcterms:created xsi:type="dcterms:W3CDTF">2014-02-12T05:03:00Z</dcterms:created>
  <dcterms:modified xsi:type="dcterms:W3CDTF">2014-03-18T07:21:00Z</dcterms:modified>
</cp:coreProperties>
</file>