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85" w:rsidRPr="00BB25C2" w:rsidRDefault="00427FBE" w:rsidP="00A22B1B">
      <w:pPr>
        <w:jc w:val="center"/>
        <w:rPr>
          <w:rFonts w:ascii="標楷體" w:eastAsia="標楷體" w:hAnsi="標楷體"/>
          <w:b/>
          <w:sz w:val="32"/>
        </w:rPr>
      </w:pPr>
      <w:r w:rsidRPr="00BB25C2">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42E718B3" wp14:editId="36AB6CE2">
                <wp:simplePos x="0" y="0"/>
                <wp:positionH relativeFrom="column">
                  <wp:posOffset>8191500</wp:posOffset>
                </wp:positionH>
                <wp:positionV relativeFrom="paragraph">
                  <wp:posOffset>-295910</wp:posOffset>
                </wp:positionV>
                <wp:extent cx="65532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3985"/>
                        </a:xfrm>
                        <a:prstGeom prst="rect">
                          <a:avLst/>
                        </a:prstGeom>
                        <a:solidFill>
                          <a:srgbClr val="FFFFFF"/>
                        </a:solidFill>
                        <a:ln w="9525">
                          <a:noFill/>
                          <a:miter lim="800000"/>
                          <a:headEnd/>
                          <a:tailEnd/>
                        </a:ln>
                      </wps:spPr>
                      <wps:txbx>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" stroked="f">
                <v:textbox style="mso-fit-shape-to-text:t">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proofErr w:type="gramStart"/>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w:t>
      </w:r>
      <w:proofErr w:type="gramEnd"/>
      <w:r w:rsidR="00A22B1B" w:rsidRPr="00BB25C2">
        <w:rPr>
          <w:rFonts w:ascii="標楷體" w:eastAsia="標楷體" w:hAnsi="標楷體" w:hint="eastAsia"/>
          <w:b/>
          <w:sz w:val="32"/>
        </w:rPr>
        <w:t>檢</w:t>
      </w:r>
      <w:bookmarkStart w:id="0" w:name="_GoBack"/>
      <w:bookmarkEnd w:id="0"/>
      <w:r w:rsidR="00A22B1B" w:rsidRPr="00BB25C2">
        <w:rPr>
          <w:rFonts w:ascii="標楷體" w:eastAsia="標楷體" w:hAnsi="標楷體" w:hint="eastAsia"/>
          <w:b/>
          <w:sz w:val="32"/>
        </w:rPr>
        <w:t>討作業檢視表</w:t>
      </w:r>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Pr="00BB25C2">
        <w:rPr>
          <w:rFonts w:ascii="標楷體" w:eastAsia="標楷體" w:hAnsi="標楷體" w:hint="eastAsia"/>
        </w:rPr>
        <w:t xml:space="preserve">  □修</w:t>
      </w:r>
      <w:r w:rsidR="00086CE7">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□檢討作業                                                         </w:t>
      </w:r>
      <w:r w:rsidR="00A22B1B" w:rsidRPr="00BB25C2">
        <w:rPr>
          <w:rFonts w:ascii="標楷體" w:eastAsia="標楷體" w:hAnsi="標楷體" w:hint="eastAsia"/>
        </w:rPr>
        <w:t>填寫日期：   年   月   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w:t>
            </w:r>
            <w:proofErr w:type="gramStart"/>
            <w:r w:rsidRPr="00BB25C2">
              <w:rPr>
                <w:rFonts w:ascii="標楷體" w:eastAsia="標楷體" w:hAnsi="標楷體" w:hint="eastAsia"/>
                <w:b/>
                <w:shd w:val="pct15" w:color="auto" w:fill="FFFFFF"/>
              </w:rPr>
              <w:t>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w:t>
            </w:r>
            <w:proofErr w:type="gramEnd"/>
            <w:r w:rsidRPr="00BB25C2">
              <w:rPr>
                <w:rFonts w:ascii="標楷體" w:eastAsia="標楷體" w:hAnsi="標楷體" w:hint="eastAsia"/>
                <w:b/>
                <w:shd w:val="pct15" w:color="auto" w:fill="FFFFFF"/>
              </w:rPr>
              <w:t>檢討作業</w:t>
            </w:r>
            <w:proofErr w:type="gramStart"/>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w:t>
            </w:r>
            <w:proofErr w:type="gramEnd"/>
            <w:r w:rsidRPr="00BB25C2">
              <w:rPr>
                <w:rFonts w:ascii="標楷體" w:eastAsia="標楷體" w:hAnsi="標楷體" w:hint="eastAsia"/>
                <w:b/>
                <w:shd w:val="pct15" w:color="auto" w:fill="FFFFFF"/>
              </w:rPr>
              <w:t>；新訂</w:t>
            </w:r>
            <w:proofErr w:type="gramStart"/>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w:t>
            </w:r>
            <w:proofErr w:type="gramEnd"/>
            <w:r w:rsidRPr="00BB25C2">
              <w:rPr>
                <w:rFonts w:ascii="標楷體" w:eastAsia="標楷體" w:hAnsi="標楷體" w:hint="eastAsia"/>
                <w:b/>
                <w:shd w:val="pct15" w:color="auto" w:fill="FFFFFF"/>
              </w:rPr>
              <w:t>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2A6132"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C05A07"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7B3460" w:rsidRPr="00BB25C2">
              <w:rPr>
                <w:rFonts w:ascii="標楷體" w:eastAsia="標楷體" w:hAnsi="標楷體" w:hint="eastAsia"/>
              </w:rPr>
              <w:t>□是</w:t>
            </w:r>
          </w:p>
          <w:p w:rsidR="007B3460" w:rsidRPr="00BB25C2" w:rsidRDefault="007B3460"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w:t>
            </w:r>
            <w:proofErr w:type="gramEnd"/>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w:t>
            </w:r>
            <w:proofErr w:type="gramStart"/>
            <w:r w:rsidRPr="00BB25C2">
              <w:rPr>
                <w:rFonts w:ascii="標楷體" w:eastAsia="標楷體" w:hAnsi="標楷體" w:hint="eastAsia"/>
              </w:rPr>
              <w:t>並</w:t>
            </w:r>
            <w:r w:rsidR="00B273A4" w:rsidRPr="00BB25C2">
              <w:rPr>
                <w:rFonts w:ascii="標楷體" w:eastAsia="標楷體" w:hAnsi="標楷體" w:hint="eastAsia"/>
              </w:rPr>
              <w:t>勾選</w:t>
            </w:r>
            <w:proofErr w:type="gramEnd"/>
            <w:r w:rsidRPr="00BB25C2">
              <w:rPr>
                <w:rFonts w:ascii="標楷體" w:eastAsia="標楷體" w:hAnsi="標楷體" w:hint="eastAsia"/>
              </w:rPr>
              <w:t>是否符合「軍公教員工給與</w:t>
            </w:r>
            <w:proofErr w:type="gramStart"/>
            <w:r w:rsidRPr="00BB25C2">
              <w:rPr>
                <w:rFonts w:ascii="標楷體" w:eastAsia="標楷體" w:hAnsi="標楷體" w:hint="eastAsia"/>
              </w:rPr>
              <w:t>項目</w:t>
            </w:r>
            <w:r w:rsidR="008E0AB7" w:rsidRPr="00BB25C2">
              <w:rPr>
                <w:rFonts w:ascii="標楷體" w:eastAsia="標楷體" w:hAnsi="標楷體" w:hint="eastAsia"/>
              </w:rPr>
              <w:t>訂修</w:t>
            </w:r>
            <w:r w:rsidRPr="00BB25C2">
              <w:rPr>
                <w:rFonts w:ascii="標楷體" w:eastAsia="標楷體" w:hAnsi="標楷體" w:hint="eastAsia"/>
              </w:rPr>
              <w:t>及</w:t>
            </w:r>
            <w:proofErr w:type="gramEnd"/>
            <w:r w:rsidRPr="00BB25C2">
              <w:rPr>
                <w:rFonts w:ascii="標楷體" w:eastAsia="標楷體" w:hAnsi="標楷體" w:hint="eastAsia"/>
              </w:rPr>
              <w:t>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w:t>
            </w:r>
            <w:proofErr w:type="gramStart"/>
            <w:r w:rsidR="00A4608D" w:rsidRPr="00BB25C2">
              <w:rPr>
                <w:rFonts w:ascii="標楷體" w:eastAsia="標楷體" w:hAnsi="標楷體" w:hint="eastAsia"/>
              </w:rPr>
              <w:t>或支給表</w:t>
            </w:r>
            <w:proofErr w:type="gramEnd"/>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2A6132" w:rsidP="0061078C">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w:t>
            </w:r>
            <w:proofErr w:type="gramStart"/>
            <w:r w:rsidRPr="00BB25C2">
              <w:rPr>
                <w:rFonts w:ascii="標楷體" w:eastAsia="標楷體" w:hAnsi="標楷體" w:hint="eastAsia"/>
                <w:szCs w:val="24"/>
              </w:rPr>
              <w:t>（</w:t>
            </w:r>
            <w:proofErr w:type="gramEnd"/>
            <w:r w:rsidRPr="00BB25C2">
              <w:rPr>
                <w:rFonts w:ascii="標楷體" w:eastAsia="標楷體" w:hAnsi="標楷體" w:hint="eastAsia"/>
                <w:szCs w:val="24"/>
              </w:rPr>
              <w:t>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proofErr w:type="gramStart"/>
            <w:r w:rsidRPr="00BB25C2">
              <w:rPr>
                <w:rFonts w:ascii="標楷體" w:eastAsia="標楷體" w:hAnsi="標楷體" w:hint="eastAsia"/>
                <w:szCs w:val="24"/>
              </w:rPr>
              <w:t>責</w:t>
            </w:r>
            <w:proofErr w:type="gramEnd"/>
            <w:r w:rsidRPr="00BB25C2">
              <w:rPr>
                <w:rFonts w:ascii="標楷體" w:eastAsia="標楷體" w:hAnsi="標楷體" w:hint="eastAsia"/>
                <w:szCs w:val="24"/>
              </w:rPr>
              <w:t>繁重職務加給除外</w:t>
            </w:r>
            <w:proofErr w:type="gramStart"/>
            <w:r w:rsidRPr="00BB25C2">
              <w:rPr>
                <w:rFonts w:ascii="標楷體" w:eastAsia="標楷體" w:hAnsi="標楷體" w:hint="eastAsia"/>
                <w:szCs w:val="24"/>
              </w:rPr>
              <w:t>）</w:t>
            </w:r>
            <w:proofErr w:type="gramEnd"/>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w:t>
            </w:r>
            <w:proofErr w:type="gramStart"/>
            <w:r w:rsidRPr="00BB25C2">
              <w:rPr>
                <w:rFonts w:ascii="標楷體" w:eastAsia="標楷體" w:hAnsi="標楷體" w:hint="eastAsia"/>
              </w:rPr>
              <w:t>一</w:t>
            </w:r>
            <w:proofErr w:type="gramEnd"/>
            <w:r w:rsidRPr="00BB25C2">
              <w:rPr>
                <w:rFonts w:ascii="標楷體" w:eastAsia="標楷體" w:hAnsi="標楷體" w:hint="eastAsia"/>
              </w:rPr>
              <w:t>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w:t>
            </w:r>
            <w:proofErr w:type="gramStart"/>
            <w:r w:rsidRPr="00BB25C2">
              <w:rPr>
                <w:rFonts w:ascii="標楷體" w:eastAsia="標楷體" w:hAnsi="標楷體" w:hint="eastAsia"/>
              </w:rPr>
              <w:t>指支給</w:t>
            </w:r>
            <w:proofErr w:type="gramEnd"/>
            <w:r w:rsidRPr="00BB25C2">
              <w:rPr>
                <w:rFonts w:ascii="標楷體" w:eastAsia="標楷體" w:hAnsi="標楷體" w:hint="eastAsia"/>
              </w:rPr>
              <w:t>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w:t>
            </w:r>
            <w:proofErr w:type="gramStart"/>
            <w:r w:rsidRPr="00BB25C2">
              <w:rPr>
                <w:rFonts w:ascii="標楷體" w:eastAsia="標楷體" w:hAnsi="標楷體" w:hint="eastAsia"/>
                <w:szCs w:val="24"/>
              </w:rPr>
              <w:t>處遇費等</w:t>
            </w:r>
            <w:proofErr w:type="gramEnd"/>
            <w:r w:rsidRPr="00BB25C2">
              <w:rPr>
                <w:rFonts w:ascii="標楷體" w:eastAsia="標楷體" w:hAnsi="標楷體" w:hint="eastAsia"/>
                <w:szCs w:val="24"/>
              </w:rPr>
              <w:t>。</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w:t>
            </w:r>
            <w:proofErr w:type="gramStart"/>
            <w:r w:rsidRPr="00BB25C2">
              <w:rPr>
                <w:rFonts w:ascii="標楷體" w:eastAsia="標楷體" w:hAnsi="標楷體" w:hint="eastAsia"/>
                <w:szCs w:val="24"/>
              </w:rPr>
              <w:t>務</w:t>
            </w:r>
            <w:proofErr w:type="gramEnd"/>
            <w:r w:rsidRPr="00BB25C2">
              <w:rPr>
                <w:rFonts w:ascii="標楷體" w:eastAsia="標楷體" w:hAnsi="標楷體" w:hint="eastAsia"/>
                <w:szCs w:val="24"/>
              </w:rPr>
              <w:t>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proofErr w:type="gramStart"/>
            <w:r w:rsidRPr="00BB25C2">
              <w:rPr>
                <w:rFonts w:ascii="標楷體" w:eastAsia="標楷體" w:hAnsi="標楷體" w:hint="eastAsia"/>
                <w:szCs w:val="24"/>
              </w:rPr>
              <w:t>如婚</w:t>
            </w:r>
            <w:proofErr w:type="gramEnd"/>
            <w:r w:rsidRPr="00BB25C2">
              <w:rPr>
                <w:rFonts w:ascii="標楷體" w:eastAsia="標楷體" w:hAnsi="標楷體" w:hint="eastAsia"/>
                <w:szCs w:val="24"/>
              </w:rPr>
              <w:t>、喪、生育及子女教育補助等。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proofErr w:type="gramStart"/>
            <w:r w:rsidR="008E0AB7" w:rsidRPr="00BB25C2">
              <w:rPr>
                <w:rFonts w:ascii="標楷體" w:eastAsia="標楷體" w:hAnsi="標楷體" w:hint="eastAsia"/>
                <w:b/>
                <w:sz w:val="28"/>
              </w:rPr>
              <w:t>訂</w:t>
            </w:r>
            <w:r w:rsidRPr="00BB25C2">
              <w:rPr>
                <w:rFonts w:ascii="標楷體" w:eastAsia="標楷體" w:hAnsi="標楷體" w:hint="eastAsia"/>
                <w:b/>
                <w:sz w:val="28"/>
              </w:rPr>
              <w:t>修給與</w:t>
            </w:r>
            <w:proofErr w:type="gramEnd"/>
            <w:r w:rsidRPr="00BB25C2">
              <w:rPr>
                <w:rFonts w:ascii="標楷體" w:eastAsia="標楷體" w:hAnsi="標楷體" w:hint="eastAsia"/>
                <w:b/>
                <w:sz w:val="28"/>
              </w:rPr>
              <w:t>項目擬案說明</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w:t>
            </w:r>
            <w:proofErr w:type="gramStart"/>
            <w:r w:rsidR="00620266" w:rsidRPr="00BB25C2">
              <w:rPr>
                <w:rFonts w:ascii="標楷體" w:eastAsia="標楷體" w:hAnsi="標楷體" w:hint="eastAsia"/>
                <w:b/>
                <w:shd w:val="pct15" w:color="auto" w:fill="FFFFFF"/>
              </w:rPr>
              <w:t>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proofErr w:type="gramEnd"/>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086CE7">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w:t>
            </w:r>
            <w:proofErr w:type="gramEnd"/>
            <w:r w:rsidR="00FC55F2" w:rsidRPr="00BB25C2">
              <w:rPr>
                <w:rFonts w:ascii="標楷體" w:eastAsia="標楷體" w:hAnsi="標楷體" w:hint="eastAsia"/>
              </w:rPr>
              <w:t>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w:t>
            </w:r>
            <w:proofErr w:type="gramEnd"/>
            <w:r w:rsidR="00D5740C" w:rsidRPr="00BB25C2">
              <w:rPr>
                <w:rFonts w:ascii="標楷體" w:eastAsia="標楷體" w:hAnsi="標楷體" w:hint="eastAsia"/>
              </w:rPr>
              <w:t>給對象、人員類別及相關人數統計，包含</w:t>
            </w:r>
            <w:proofErr w:type="gramStart"/>
            <w:r w:rsidR="009F69D6" w:rsidRPr="00BB25C2">
              <w:rPr>
                <w:rFonts w:ascii="標楷體" w:eastAsia="標楷體" w:hAnsi="標楷體" w:hint="eastAsia"/>
              </w:rPr>
              <w:t>訂</w:t>
            </w:r>
            <w:r w:rsidR="00D5740C" w:rsidRPr="00BB25C2">
              <w:rPr>
                <w:rFonts w:ascii="標楷體" w:eastAsia="標楷體" w:hAnsi="標楷體" w:hint="eastAsia"/>
              </w:rPr>
              <w:t>修前</w:t>
            </w:r>
            <w:proofErr w:type="gramEnd"/>
            <w:r w:rsidR="00D5740C" w:rsidRPr="00BB25C2">
              <w:rPr>
                <w:rFonts w:ascii="標楷體" w:eastAsia="標楷體" w:hAnsi="標楷體" w:hint="eastAsia"/>
              </w:rPr>
              <w:t>、後之影響。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w:t>
            </w:r>
            <w:proofErr w:type="gramEnd"/>
            <w:r w:rsidR="007E6EE8" w:rsidRPr="00BB25C2">
              <w:rPr>
                <w:rFonts w:ascii="標楷體" w:eastAsia="標楷體" w:hAnsi="標楷體" w:hint="eastAsia"/>
              </w:rPr>
              <w:t>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□是</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F6233" w:rsidRPr="00BB25C2">
              <w:rPr>
                <w:rFonts w:ascii="標楷體" w:eastAsia="標楷體" w:hAnsi="標楷體" w:hint="eastAsia"/>
                <w:szCs w:val="24"/>
              </w:rPr>
              <w:t>□</w:t>
            </w:r>
            <w:r w:rsidRPr="00BB25C2">
              <w:rPr>
                <w:rFonts w:ascii="標楷體" w:eastAsia="標楷體" w:hAnsi="標楷體" w:hint="eastAsia"/>
                <w:szCs w:val="24"/>
              </w:rPr>
              <w:t>是</w:t>
            </w:r>
          </w:p>
          <w:p w:rsidR="00087D69" w:rsidRPr="00BB25C2" w:rsidRDefault="00087D69" w:rsidP="00087D69">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w:t>
            </w:r>
            <w:proofErr w:type="gramStart"/>
            <w:r w:rsidRPr="00BB25C2">
              <w:rPr>
                <w:rFonts w:ascii="標楷體" w:eastAsia="標楷體" w:hAnsi="標楷體" w:hint="eastAsia"/>
                <w:szCs w:val="24"/>
              </w:rPr>
              <w:t>□否</w:t>
            </w:r>
            <w:proofErr w:type="gramEnd"/>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w:t>
            </w:r>
            <w:proofErr w:type="gramStart"/>
            <w:r w:rsidRPr="00BB25C2">
              <w:rPr>
                <w:rFonts w:ascii="標楷體" w:eastAsia="標楷體" w:hAnsi="標楷體" w:hint="eastAsia"/>
              </w:rPr>
              <w:t>院授人給字</w:t>
            </w:r>
            <w:proofErr w:type="gramEnd"/>
            <w:r w:rsidRPr="00BB25C2">
              <w:rPr>
                <w:rFonts w:ascii="標楷體" w:eastAsia="標楷體" w:hAnsi="標楷體" w:hint="eastAsia"/>
              </w:rPr>
              <w:t>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敘明</w:t>
            </w:r>
            <w:proofErr w:type="gramEnd"/>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99050A" w:rsidP="006E136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w:t>
            </w:r>
            <w:proofErr w:type="gramStart"/>
            <w:r w:rsidR="006E1363" w:rsidRPr="00BB25C2">
              <w:rPr>
                <w:rFonts w:ascii="標楷體" w:eastAsia="標楷體" w:hAnsi="標楷體" w:hint="eastAsia"/>
              </w:rPr>
              <w:t>期間(</w:t>
            </w:r>
            <w:proofErr w:type="gramEnd"/>
            <w:r w:rsidR="006E1363" w:rsidRPr="00BB25C2">
              <w:rPr>
                <w:rFonts w:ascii="標楷體" w:eastAsia="標楷體" w:hAnsi="標楷體" w:hint="eastAsia"/>
              </w:rPr>
              <w:t>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w:t>
            </w:r>
            <w:proofErr w:type="gramEnd"/>
            <w:r w:rsidR="006E1363" w:rsidRPr="00BB25C2">
              <w:rPr>
                <w:rFonts w:ascii="標楷體" w:eastAsia="標楷體" w:hAnsi="標楷體" w:hint="eastAsia"/>
              </w:rPr>
              <w:t>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w:t>
            </w:r>
            <w:proofErr w:type="gramStart"/>
            <w:r w:rsidR="006E1363" w:rsidRPr="00BB25C2">
              <w:rPr>
                <w:rFonts w:ascii="標楷體" w:eastAsia="標楷體" w:hAnsi="標楷體" w:hint="eastAsia"/>
              </w:rPr>
              <w:t>期間(</w:t>
            </w:r>
            <w:proofErr w:type="gramEnd"/>
            <w:r w:rsidR="006E1363" w:rsidRPr="00BB25C2">
              <w:rPr>
                <w:rFonts w:ascii="標楷體" w:eastAsia="標楷體" w:hAnsi="標楷體" w:hint="eastAsia"/>
              </w:rPr>
              <w:t>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w:t>
            </w:r>
            <w:proofErr w:type="gramStart"/>
            <w:r w:rsidR="00F925B4" w:rsidRPr="00BB25C2">
              <w:rPr>
                <w:rFonts w:ascii="標楷體" w:eastAsia="標楷體" w:hAnsi="標楷體" w:hint="eastAsia"/>
                <w:b/>
                <w:shd w:val="pct15" w:color="auto" w:fill="FFFFFF"/>
              </w:rPr>
              <w:t>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w:t>
            </w:r>
            <w:proofErr w:type="gramEnd"/>
            <w:r w:rsidR="00F925B4" w:rsidRPr="00BB25C2">
              <w:rPr>
                <w:rFonts w:ascii="標楷體" w:eastAsia="標楷體" w:hAnsi="標楷體" w:hint="eastAsia"/>
                <w:b/>
                <w:shd w:val="pct15" w:color="auto" w:fill="FFFFFF"/>
              </w:rPr>
              <w:t>檢討作業</w:t>
            </w:r>
            <w:proofErr w:type="gramStart"/>
            <w:r w:rsidR="00F925B4" w:rsidRPr="00BB25C2">
              <w:rPr>
                <w:rFonts w:ascii="標楷體" w:eastAsia="標楷體" w:hAnsi="標楷體" w:hint="eastAsia"/>
                <w:b/>
                <w:shd w:val="pct15" w:color="auto" w:fill="FFFFFF"/>
              </w:rPr>
              <w:t>時均須填寫</w:t>
            </w:r>
            <w:proofErr w:type="gramEnd"/>
            <w:r w:rsidR="00F925B4" w:rsidRPr="00BB25C2">
              <w:rPr>
                <w:rFonts w:ascii="標楷體" w:eastAsia="標楷體" w:hAnsi="標楷體" w:hint="eastAsia"/>
                <w:b/>
                <w:shd w:val="pct15" w:color="auto" w:fill="FFFFFF"/>
              </w:rPr>
              <w:t>；</w:t>
            </w:r>
            <w:r w:rsidR="009874A0" w:rsidRPr="00BB25C2">
              <w:rPr>
                <w:rFonts w:ascii="標楷體" w:eastAsia="標楷體" w:hAnsi="標楷體" w:hint="eastAsia"/>
                <w:b/>
                <w:shd w:val="pct15" w:color="auto" w:fill="FFFFFF"/>
              </w:rPr>
              <w:t>檢討</w:t>
            </w:r>
            <w:proofErr w:type="gramStart"/>
            <w:r w:rsidR="00F925B4" w:rsidRPr="00BB25C2">
              <w:rPr>
                <w:rFonts w:ascii="標楷體" w:eastAsia="標楷體" w:hAnsi="標楷體" w:hint="eastAsia"/>
                <w:b/>
                <w:shd w:val="pct15" w:color="auto" w:fill="FFFFFF"/>
              </w:rPr>
              <w:t>作業免填</w:t>
            </w:r>
            <w:proofErr w:type="gramEnd"/>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34502E" w:rsidP="00D80A7F">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proofErr w:type="gramStart"/>
            <w:r w:rsidR="00FD3173" w:rsidRPr="00BB25C2">
              <w:rPr>
                <w:rFonts w:ascii="標楷體" w:eastAsia="標楷體" w:hAnsi="標楷體" w:hint="eastAsia"/>
                <w:shd w:val="pct15" w:color="auto" w:fill="FFFFFF"/>
              </w:rPr>
              <w:t>免填</w:t>
            </w:r>
            <w:proofErr w:type="gramEnd"/>
            <w:r w:rsidR="00FD3173" w:rsidRPr="00BB25C2">
              <w:rPr>
                <w:rFonts w:ascii="標楷體" w:eastAsia="標楷體" w:hAnsi="標楷體" w:hint="eastAsia"/>
                <w:shd w:val="pct15" w:color="auto" w:fill="FFFFFF"/>
              </w:rPr>
              <w:t>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23434" w:rsidP="00FD35AF">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00FD35AF" w:rsidRPr="00BB25C2">
              <w:rPr>
                <w:rFonts w:ascii="標楷體" w:eastAsia="標楷體" w:hAnsi="標楷體" w:hint="eastAsia"/>
                <w:szCs w:val="24"/>
              </w:rPr>
              <w:t>□是</w:t>
            </w:r>
          </w:p>
          <w:p w:rsidR="00FD35AF"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w:t>
            </w:r>
            <w:proofErr w:type="gramStart"/>
            <w:r w:rsidRPr="00BB25C2">
              <w:rPr>
                <w:rFonts w:ascii="標楷體" w:eastAsia="標楷體" w:hAnsi="標楷體" w:hint="eastAsia"/>
                <w:szCs w:val="24"/>
              </w:rPr>
              <w:t>□否</w:t>
            </w:r>
            <w:proofErr w:type="gramEnd"/>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w:t>
            </w:r>
            <w:proofErr w:type="gramStart"/>
            <w:r w:rsidRPr="00BB25C2">
              <w:rPr>
                <w:rFonts w:ascii="標楷體" w:eastAsia="標楷體" w:hAnsi="標楷體" w:hint="eastAsia"/>
              </w:rPr>
              <w:t>期間(</w:t>
            </w:r>
            <w:proofErr w:type="gramEnd"/>
            <w:r w:rsidRPr="00BB25C2">
              <w:rPr>
                <w:rFonts w:ascii="標楷體" w:eastAsia="標楷體" w:hAnsi="標楷體" w:hint="eastAsia"/>
              </w:rPr>
              <w:t>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w:t>
            </w:r>
            <w:proofErr w:type="gramStart"/>
            <w:r w:rsidRPr="00BB25C2">
              <w:rPr>
                <w:rFonts w:ascii="標楷體" w:eastAsia="標楷體" w:hAnsi="標楷體" w:hint="eastAsia"/>
              </w:rPr>
              <w:t>對象均為適用</w:t>
            </w:r>
            <w:proofErr w:type="gramEnd"/>
            <w:r w:rsidRPr="00BB25C2">
              <w:rPr>
                <w:rFonts w:ascii="標楷體" w:eastAsia="標楷體" w:hAnsi="標楷體" w:hint="eastAsia"/>
              </w:rPr>
              <w:t>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w:t>
            </w:r>
            <w:r w:rsidR="0099050A" w:rsidRPr="00BB25C2">
              <w:rPr>
                <w:rFonts w:ascii="標楷體" w:eastAsia="標楷體" w:hAnsi="標楷體" w:hint="eastAsia"/>
              </w:rPr>
              <w:t xml:space="preserve">    </w:t>
            </w:r>
            <w:r w:rsidRPr="00BB25C2">
              <w:rPr>
                <w:rFonts w:ascii="標楷體" w:eastAsia="標楷體" w:hAnsi="標楷體" w:hint="eastAsia"/>
              </w:rPr>
              <w:t>3.1.1.2辦理依據</w:t>
            </w:r>
            <w:r w:rsidR="006E1363" w:rsidRPr="00BB25C2">
              <w:rPr>
                <w:rFonts w:ascii="標楷體" w:eastAsia="標楷體" w:hAnsi="標楷體" w:hint="eastAsia"/>
              </w:rPr>
              <w:t>及</w:t>
            </w:r>
            <w:r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proofErr w:type="gramStart"/>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proofErr w:type="gramEnd"/>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w:t>
            </w:r>
            <w:proofErr w:type="gramStart"/>
            <w:r w:rsidRPr="00BB25C2">
              <w:rPr>
                <w:rFonts w:ascii="標楷體" w:eastAsia="標楷體" w:hAnsi="標楷體" w:hint="eastAsia"/>
              </w:rPr>
              <w:t>併</w:t>
            </w:r>
            <w:proofErr w:type="gramEnd"/>
            <w:r w:rsidRPr="00BB25C2">
              <w:rPr>
                <w:rFonts w:ascii="標楷體" w:eastAsia="標楷體" w:hAnsi="標楷體" w:hint="eastAsia"/>
              </w:rPr>
              <w:t>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2A6132"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3.1.1.4其他法</w:t>
            </w:r>
            <w:r w:rsidR="00E25625" w:rsidRPr="00BB25C2">
              <w:rPr>
                <w:rFonts w:ascii="標楷體" w:eastAsia="標楷體" w:hAnsi="標楷體" w:hint="eastAsia"/>
              </w:rPr>
              <w:t>令</w:t>
            </w:r>
            <w:r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94710B"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w:t>
            </w:r>
            <w:proofErr w:type="gramStart"/>
            <w:r w:rsidRPr="00BB25C2">
              <w:rPr>
                <w:rFonts w:ascii="標楷體" w:eastAsia="標楷體" w:hAnsi="標楷體" w:hint="eastAsia"/>
              </w:rPr>
              <w:t>配合</w:t>
            </w:r>
            <w:r w:rsidR="0098749F" w:rsidRPr="00BB25C2">
              <w:rPr>
                <w:rFonts w:ascii="標楷體" w:eastAsia="標楷體" w:hAnsi="標楷體" w:hint="eastAsia"/>
              </w:rPr>
              <w:t>訂</w:t>
            </w:r>
            <w:r w:rsidRPr="00BB25C2">
              <w:rPr>
                <w:rFonts w:ascii="標楷體" w:eastAsia="標楷體" w:hAnsi="標楷體" w:hint="eastAsia"/>
              </w:rPr>
              <w:t>修或</w:t>
            </w:r>
            <w:proofErr w:type="gramEnd"/>
            <w:r w:rsidRPr="00BB25C2">
              <w:rPr>
                <w:rFonts w:ascii="標楷體" w:eastAsia="標楷體" w:hAnsi="標楷體" w:hint="eastAsia"/>
              </w:rPr>
              <w:t>刪除：</w:t>
            </w:r>
          </w:p>
          <w:p w:rsidR="0094710B" w:rsidRPr="00BB25C2" w:rsidRDefault="0094710B" w:rsidP="0094710B">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w:t>
            </w:r>
            <w:proofErr w:type="gramStart"/>
            <w:r w:rsidRPr="00BB25C2">
              <w:rPr>
                <w:rFonts w:ascii="標楷體" w:eastAsia="標楷體" w:hAnsi="標楷體" w:hint="eastAsia"/>
                <w:szCs w:val="24"/>
              </w:rPr>
              <w:t>請</w:t>
            </w:r>
            <w:r w:rsidR="00DF66D4" w:rsidRPr="00BB25C2">
              <w:rPr>
                <w:rFonts w:ascii="標楷體" w:eastAsia="標楷體" w:hAnsi="標楷體" w:hint="eastAsia"/>
              </w:rPr>
              <w:t>敘明</w:t>
            </w:r>
            <w:proofErr w:type="gramEnd"/>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033F5A" w:rsidRPr="00BB25C2">
              <w:rPr>
                <w:rFonts w:ascii="標楷體" w:eastAsia="標楷體" w:hAnsi="標楷體" w:hint="eastAsia"/>
              </w:rPr>
              <w:t>有無</w:t>
            </w:r>
            <w:proofErr w:type="gramStart"/>
            <w:r w:rsidR="00033F5A" w:rsidRPr="00BB25C2">
              <w:rPr>
                <w:rFonts w:ascii="標楷體" w:eastAsia="標楷體" w:hAnsi="標楷體" w:hint="eastAsia"/>
              </w:rPr>
              <w:t>與</w:t>
            </w:r>
            <w:r w:rsidR="0098749F" w:rsidRPr="00BB25C2">
              <w:rPr>
                <w:rFonts w:ascii="標楷體" w:eastAsia="標楷體" w:hAnsi="標楷體" w:hint="eastAsia"/>
              </w:rPr>
              <w:t>訂</w:t>
            </w:r>
            <w:r w:rsidR="00033F5A" w:rsidRPr="00BB25C2">
              <w:rPr>
                <w:rFonts w:ascii="標楷體" w:eastAsia="標楷體" w:hAnsi="標楷體" w:hint="eastAsia"/>
              </w:rPr>
              <w:t>修規定</w:t>
            </w:r>
            <w:proofErr w:type="gramEnd"/>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w:t>
            </w:r>
            <w:proofErr w:type="gramStart"/>
            <w:r w:rsidR="00FD3173" w:rsidRPr="00BB25C2">
              <w:rPr>
                <w:rFonts w:ascii="標楷體" w:eastAsia="標楷體" w:hAnsi="標楷體" w:hint="eastAsia"/>
              </w:rPr>
              <w:t>配合</w:t>
            </w:r>
            <w:r w:rsidR="0098749F" w:rsidRPr="00BB25C2">
              <w:rPr>
                <w:rFonts w:ascii="標楷體" w:eastAsia="標楷體" w:hAnsi="標楷體" w:hint="eastAsia"/>
              </w:rPr>
              <w:t>訂</w:t>
            </w:r>
            <w:r w:rsidR="00FD3173" w:rsidRPr="00BB25C2">
              <w:rPr>
                <w:rFonts w:ascii="標楷體" w:eastAsia="標楷體" w:hAnsi="標楷體" w:hint="eastAsia"/>
              </w:rPr>
              <w:t>修或</w:t>
            </w:r>
            <w:proofErr w:type="gramEnd"/>
            <w:r w:rsidR="00FD3173" w:rsidRPr="00BB25C2">
              <w:rPr>
                <w:rFonts w:ascii="標楷體" w:eastAsia="標楷體" w:hAnsi="標楷體" w:hint="eastAsia"/>
              </w:rPr>
              <w:t>刪除？</w:t>
            </w:r>
            <w:r w:rsidR="004115BD" w:rsidRPr="00BB25C2">
              <w:rPr>
                <w:rFonts w:ascii="標楷體" w:eastAsia="標楷體" w:hAnsi="標楷體" w:hint="eastAsia"/>
              </w:rPr>
              <w:t>如有，</w:t>
            </w:r>
            <w:proofErr w:type="gramStart"/>
            <w:r w:rsidR="004115BD" w:rsidRPr="00BB25C2">
              <w:rPr>
                <w:rFonts w:ascii="標楷體" w:eastAsia="標楷體" w:hAnsi="標楷體" w:hint="eastAsia"/>
              </w:rPr>
              <w:t>請</w:t>
            </w:r>
            <w:r w:rsidR="00DF66D4" w:rsidRPr="00BB25C2">
              <w:rPr>
                <w:rFonts w:ascii="標楷體" w:eastAsia="標楷體" w:hAnsi="標楷體" w:hint="eastAsia"/>
              </w:rPr>
              <w:t>敘明</w:t>
            </w:r>
            <w:proofErr w:type="gramEnd"/>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w:t>
            </w:r>
            <w:r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w:t>
            </w:r>
            <w:r w:rsidR="0099050A" w:rsidRPr="00BB25C2">
              <w:rPr>
                <w:rFonts w:ascii="標楷體" w:eastAsia="標楷體" w:hAnsi="標楷體" w:hint="eastAsia"/>
              </w:rPr>
              <w:t>1.</w:t>
            </w:r>
            <w:r w:rsidRPr="00BB25C2">
              <w:rPr>
                <w:rFonts w:ascii="標楷體" w:eastAsia="標楷體" w:hAnsi="標楷體" w:hint="eastAsia"/>
              </w:rPr>
              <w:t>2.2</w:t>
            </w:r>
            <w:r w:rsidR="0098749F" w:rsidRPr="00BB25C2">
              <w:rPr>
                <w:rFonts w:ascii="標楷體" w:eastAsia="標楷體" w:hAnsi="標楷體" w:hint="eastAsia"/>
              </w:rPr>
              <w:t>立法</w:t>
            </w:r>
            <w:r w:rsidRPr="00BB25C2">
              <w:rPr>
                <w:rFonts w:ascii="標楷體" w:eastAsia="標楷體" w:hAnsi="標楷體" w:hint="eastAsia"/>
              </w:rPr>
              <w:t>、監察</w:t>
            </w:r>
            <w:r w:rsidR="00F07B65" w:rsidRPr="00BB25C2">
              <w:rPr>
                <w:rFonts w:ascii="標楷體" w:eastAsia="標楷體" w:hAnsi="標楷體" w:hint="eastAsia"/>
              </w:rPr>
              <w:t>或審計</w:t>
            </w:r>
            <w:r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2343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w:t>
            </w:r>
            <w:proofErr w:type="gramStart"/>
            <w:r w:rsidRPr="00BB25C2">
              <w:rPr>
                <w:rFonts w:ascii="標楷體" w:eastAsia="標楷體" w:hAnsi="標楷體" w:hint="eastAsia"/>
              </w:rPr>
              <w:t>請</w:t>
            </w:r>
            <w:r w:rsidR="00DF66D4" w:rsidRPr="00BB25C2">
              <w:rPr>
                <w:rFonts w:ascii="標楷體" w:eastAsia="標楷體" w:hAnsi="標楷體" w:hint="eastAsia"/>
              </w:rPr>
              <w:t>敘明</w:t>
            </w:r>
            <w:proofErr w:type="gramEnd"/>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w:t>
            </w:r>
            <w:proofErr w:type="gramStart"/>
            <w:r w:rsidRPr="00BB25C2">
              <w:rPr>
                <w:rFonts w:ascii="標楷體" w:eastAsia="標楷體" w:hAnsi="標楷體" w:hint="eastAsia"/>
              </w:rPr>
              <w:t>請</w:t>
            </w:r>
            <w:r w:rsidR="00DF66D4" w:rsidRPr="00BB25C2">
              <w:rPr>
                <w:rFonts w:ascii="標楷體" w:eastAsia="標楷體" w:hAnsi="標楷體" w:hint="eastAsia"/>
              </w:rPr>
              <w:t>敘明</w:t>
            </w:r>
            <w:proofErr w:type="gramEnd"/>
            <w:r w:rsidRPr="00BB25C2">
              <w:rPr>
                <w:rFonts w:ascii="標楷體" w:eastAsia="標楷體" w:hAnsi="標楷體" w:hint="eastAsia"/>
              </w:rPr>
              <w:t>)</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w:t>
            </w:r>
            <w:proofErr w:type="gramStart"/>
            <w:r w:rsidR="00F07B65" w:rsidRPr="00BB25C2">
              <w:rPr>
                <w:rFonts w:ascii="標楷體" w:eastAsia="標楷體" w:hAnsi="標楷體" w:hint="eastAsia"/>
              </w:rPr>
              <w:t>研議支</w:t>
            </w:r>
            <w:proofErr w:type="gramEnd"/>
            <w:r w:rsidR="00F07B65" w:rsidRPr="00BB25C2">
              <w:rPr>
                <w:rFonts w:ascii="標楷體" w:eastAsia="標楷體" w:hAnsi="標楷體" w:hint="eastAsia"/>
              </w:rPr>
              <w:t>給：</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□否</w:t>
            </w:r>
          </w:p>
          <w:p w:rsidR="00F07B65" w:rsidRPr="00BB25C2" w:rsidRDefault="00F07B65"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roofErr w:type="gramStart"/>
            <w:r w:rsidRPr="00BB25C2">
              <w:rPr>
                <w:rFonts w:ascii="標楷體" w:eastAsia="標楷體" w:hAnsi="標楷體" w:hint="eastAsia"/>
              </w:rPr>
              <w:t>請</w:t>
            </w:r>
            <w:r w:rsidR="00DF66D4" w:rsidRPr="00BB25C2">
              <w:rPr>
                <w:rFonts w:ascii="標楷體" w:eastAsia="標楷體" w:hAnsi="標楷體" w:hint="eastAsia"/>
              </w:rPr>
              <w:t>敘明</w:t>
            </w:r>
            <w:proofErr w:type="gramEnd"/>
            <w:r w:rsidRPr="00BB25C2">
              <w:rPr>
                <w:rFonts w:ascii="標楷體" w:eastAsia="標楷體" w:hAnsi="標楷體" w:hint="eastAsia"/>
              </w:rPr>
              <w:t xml:space="preserve">) </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w:t>
            </w:r>
            <w:proofErr w:type="gramStart"/>
            <w:r w:rsidR="00C523C1" w:rsidRPr="00BB25C2">
              <w:rPr>
                <w:rFonts w:ascii="標楷體" w:eastAsia="標楷體" w:hAnsi="標楷體" w:hint="eastAsia"/>
              </w:rPr>
              <w:t>研議支</w:t>
            </w:r>
            <w:proofErr w:type="gramEnd"/>
            <w:r w:rsidR="00C523C1" w:rsidRPr="00BB25C2">
              <w:rPr>
                <w:rFonts w:ascii="標楷體" w:eastAsia="標楷體" w:hAnsi="標楷體" w:hint="eastAsia"/>
              </w:rPr>
              <w:t>給？</w:t>
            </w:r>
            <w:r w:rsidR="004115BD" w:rsidRPr="00BB25C2">
              <w:rPr>
                <w:rFonts w:ascii="標楷體" w:eastAsia="標楷體" w:hAnsi="標楷體" w:hint="eastAsia"/>
              </w:rPr>
              <w:t>如有(是)，</w:t>
            </w:r>
            <w:proofErr w:type="gramStart"/>
            <w:r w:rsidR="004115BD" w:rsidRPr="00BB25C2">
              <w:rPr>
                <w:rFonts w:ascii="標楷體" w:eastAsia="標楷體" w:hAnsi="標楷體" w:hint="eastAsia"/>
              </w:rPr>
              <w:t>請</w:t>
            </w:r>
            <w:r w:rsidR="00DF66D4" w:rsidRPr="00BB25C2">
              <w:rPr>
                <w:rFonts w:ascii="標楷體" w:eastAsia="標楷體" w:hAnsi="標楷體" w:hint="eastAsia"/>
              </w:rPr>
              <w:t>敘明</w:t>
            </w:r>
            <w:proofErr w:type="gramEnd"/>
            <w:r w:rsidR="004115BD" w:rsidRPr="00BB25C2">
              <w:rPr>
                <w:rFonts w:ascii="標楷體" w:eastAsia="標楷體" w:hAnsi="標楷體" w:hint="eastAsia"/>
              </w:rPr>
              <w:t>。</w:t>
            </w:r>
          </w:p>
        </w:tc>
      </w:tr>
      <w:tr w:rsidR="00A00838" w:rsidRPr="00BB25C2" w:rsidTr="009235C9">
        <w:tc>
          <w:tcPr>
            <w:tcW w:w="9342" w:type="dxa"/>
            <w:gridSpan w:val="2"/>
            <w:tcBorders>
              <w:top w:val="double" w:sz="4" w:space="0" w:color="auto"/>
              <w:bottom w:val="single" w:sz="4" w:space="0" w:color="auto"/>
              <w:right w:val="single" w:sz="4" w:space="0" w:color="auto"/>
            </w:tcBorders>
            <w:vAlign w:val="center"/>
          </w:tcPr>
          <w:p w:rsidR="00A00838" w:rsidRPr="00BB25C2" w:rsidRDefault="00A00838"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3.1.3需求面評估</w:t>
            </w:r>
          </w:p>
        </w:tc>
        <w:tc>
          <w:tcPr>
            <w:tcW w:w="4672" w:type="dxa"/>
            <w:tcBorders>
              <w:top w:val="double" w:sz="4" w:space="0" w:color="auto"/>
              <w:left w:val="single" w:sz="4" w:space="0" w:color="auto"/>
              <w:bottom w:val="single" w:sz="4" w:space="0" w:color="auto"/>
            </w:tcBorders>
            <w:vAlign w:val="center"/>
          </w:tcPr>
          <w:p w:rsidR="00A00838" w:rsidRPr="00BB25C2" w:rsidRDefault="00A00838" w:rsidP="00E774C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辦理給與項目檢討作業時，</w:t>
            </w:r>
            <w:proofErr w:type="gramStart"/>
            <w:r w:rsidRPr="00BB25C2">
              <w:rPr>
                <w:rFonts w:ascii="標楷體" w:eastAsia="標楷體" w:hAnsi="標楷體" w:hint="eastAsia"/>
                <w:shd w:val="pct15" w:color="auto" w:fill="FFFFFF"/>
              </w:rPr>
              <w:t>免填</w:t>
            </w:r>
            <w:proofErr w:type="gramEnd"/>
            <w:r w:rsidRPr="00BB25C2">
              <w:rPr>
                <w:rFonts w:ascii="標楷體" w:eastAsia="標楷體" w:hAnsi="標楷體" w:hint="eastAsia"/>
                <w:shd w:val="pct15" w:color="auto" w:fill="FFFFFF"/>
              </w:rPr>
              <w:t>3.1.3.1問題界定與分析、3.1.3.2曾</w:t>
            </w:r>
            <w:proofErr w:type="gramStart"/>
            <w:r w:rsidRPr="00BB25C2">
              <w:rPr>
                <w:rFonts w:ascii="標楷體" w:eastAsia="標楷體" w:hAnsi="標楷體" w:hint="eastAsia"/>
                <w:shd w:val="pct15" w:color="auto" w:fill="FFFFFF"/>
              </w:rPr>
              <w:t>研</w:t>
            </w:r>
            <w:proofErr w:type="gramEnd"/>
            <w:r w:rsidRPr="00BB25C2">
              <w:rPr>
                <w:rFonts w:ascii="標楷體" w:eastAsia="標楷體" w:hAnsi="標楷體" w:hint="eastAsia"/>
                <w:shd w:val="pct15" w:color="auto" w:fill="FFFFFF"/>
              </w:rPr>
              <w:t>擬或</w:t>
            </w:r>
            <w:proofErr w:type="gramStart"/>
            <w:r w:rsidRPr="00BB25C2">
              <w:rPr>
                <w:rFonts w:ascii="標楷體" w:eastAsia="標楷體" w:hAnsi="標楷體" w:hint="eastAsia"/>
                <w:shd w:val="pct15" w:color="auto" w:fill="FFFFFF"/>
              </w:rPr>
              <w:t>採</w:t>
            </w:r>
            <w:proofErr w:type="gramEnd"/>
            <w:r w:rsidRPr="00BB25C2">
              <w:rPr>
                <w:rFonts w:ascii="標楷體" w:eastAsia="標楷體" w:hAnsi="標楷體" w:hint="eastAsia"/>
                <w:shd w:val="pct15" w:color="auto" w:fill="FFFFFF"/>
              </w:rPr>
              <w:t>行之方案及3.1.3.3曾邀會</w:t>
            </w:r>
            <w:proofErr w:type="gramStart"/>
            <w:r w:rsidRPr="00BB25C2">
              <w:rPr>
                <w:rFonts w:ascii="標楷體" w:eastAsia="標楷體" w:hAnsi="標楷體" w:hint="eastAsia"/>
                <w:shd w:val="pct15" w:color="auto" w:fill="FFFFFF"/>
              </w:rPr>
              <w:t>研</w:t>
            </w:r>
            <w:proofErr w:type="gramEnd"/>
            <w:r w:rsidRPr="00BB25C2">
              <w:rPr>
                <w:rFonts w:ascii="標楷體" w:eastAsia="標楷體" w:hAnsi="標楷體" w:hint="eastAsia"/>
                <w:shd w:val="pct15" w:color="auto" w:fill="FFFFFF"/>
              </w:rPr>
              <w:t>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3.1.3.2</w:t>
            </w:r>
            <w:r w:rsidR="00EA6E84" w:rsidRPr="00BB25C2">
              <w:rPr>
                <w:rFonts w:ascii="標楷體" w:eastAsia="標楷體" w:hAnsi="標楷體" w:hint="eastAsia"/>
              </w:rPr>
              <w:t>曾</w:t>
            </w:r>
            <w:proofErr w:type="gramStart"/>
            <w:r w:rsidR="00EA6E84" w:rsidRPr="00BB25C2">
              <w:rPr>
                <w:rFonts w:ascii="標楷體" w:eastAsia="標楷體" w:hAnsi="標楷體" w:hint="eastAsia"/>
              </w:rPr>
              <w:t>研</w:t>
            </w:r>
            <w:proofErr w:type="gramEnd"/>
            <w:r w:rsidR="00EA6E84" w:rsidRPr="00BB25C2">
              <w:rPr>
                <w:rFonts w:ascii="標楷體" w:eastAsia="標楷體" w:hAnsi="標楷體" w:hint="eastAsia"/>
              </w:rPr>
              <w:t>擬或</w:t>
            </w:r>
            <w:proofErr w:type="gramStart"/>
            <w:r w:rsidR="00EA6E84" w:rsidRPr="00BB25C2">
              <w:rPr>
                <w:rFonts w:ascii="標楷體" w:eastAsia="標楷體" w:hAnsi="標楷體" w:hint="eastAsia"/>
              </w:rPr>
              <w:t>採</w:t>
            </w:r>
            <w:proofErr w:type="gramEnd"/>
            <w:r w:rsidR="00EA6E84" w:rsidRPr="00BB25C2">
              <w:rPr>
                <w:rFonts w:ascii="標楷體" w:eastAsia="標楷體" w:hAnsi="標楷體" w:hint="eastAsia"/>
              </w:rPr>
              <w:t>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1B096E" w:rsidRPr="00BB25C2">
              <w:rPr>
                <w:rFonts w:ascii="標楷體" w:eastAsia="標楷體" w:hAnsi="標楷體" w:hint="eastAsia"/>
              </w:rPr>
              <w:t>主</w:t>
            </w:r>
            <w:r w:rsidR="007F3528" w:rsidRPr="00BB25C2">
              <w:rPr>
                <w:rFonts w:ascii="標楷體" w:eastAsia="標楷體" w:hAnsi="標楷體" w:hint="eastAsia"/>
              </w:rPr>
              <w:t>辦(適用)機關</w:t>
            </w:r>
            <w:r w:rsidR="00E774C9" w:rsidRPr="00BB25C2">
              <w:rPr>
                <w:rFonts w:ascii="標楷體" w:eastAsia="標楷體" w:hAnsi="標楷體" w:hint="eastAsia"/>
              </w:rPr>
              <w:t>曾針對</w:t>
            </w:r>
            <w:r w:rsidR="007F3528" w:rsidRPr="00BB25C2">
              <w:rPr>
                <w:rFonts w:ascii="標楷體" w:eastAsia="標楷體" w:hAnsi="標楷體" w:hint="eastAsia"/>
              </w:rPr>
              <w:t>上述</w:t>
            </w:r>
            <w:r w:rsidR="00E774C9" w:rsidRPr="00BB25C2">
              <w:rPr>
                <w:rFonts w:ascii="標楷體" w:eastAsia="標楷體" w:hAnsi="標楷體" w:hint="eastAsia"/>
              </w:rPr>
              <w:t>問題</w:t>
            </w:r>
            <w:r w:rsidR="007F3528" w:rsidRPr="00BB25C2">
              <w:rPr>
                <w:rFonts w:ascii="標楷體" w:eastAsia="標楷體" w:hAnsi="標楷體" w:hint="eastAsia"/>
              </w:rPr>
              <w:t>或挑戰</w:t>
            </w:r>
            <w:proofErr w:type="gramStart"/>
            <w:r w:rsidR="00E774C9" w:rsidRPr="00BB25C2">
              <w:rPr>
                <w:rFonts w:ascii="標楷體" w:eastAsia="標楷體" w:hAnsi="標楷體" w:hint="eastAsia"/>
              </w:rPr>
              <w:t>研</w:t>
            </w:r>
            <w:proofErr w:type="gramEnd"/>
            <w:r w:rsidR="00E774C9" w:rsidRPr="00BB25C2">
              <w:rPr>
                <w:rFonts w:ascii="標楷體" w:eastAsia="標楷體" w:hAnsi="標楷體" w:hint="eastAsia"/>
              </w:rPr>
              <w:t>擬或</w:t>
            </w:r>
            <w:proofErr w:type="gramStart"/>
            <w:r w:rsidR="00E774C9" w:rsidRPr="00BB25C2">
              <w:rPr>
                <w:rFonts w:ascii="標楷體" w:eastAsia="標楷體" w:hAnsi="標楷體" w:hint="eastAsia"/>
              </w:rPr>
              <w:t>採</w:t>
            </w:r>
            <w:proofErr w:type="gramEnd"/>
            <w:r w:rsidR="00E774C9" w:rsidRPr="00BB25C2">
              <w:rPr>
                <w:rFonts w:ascii="標楷體" w:eastAsia="標楷體" w:hAnsi="標楷體" w:hint="eastAsia"/>
              </w:rPr>
              <w:t>行之解決方案</w:t>
            </w:r>
            <w:r w:rsidR="007F3528" w:rsidRPr="00BB25C2">
              <w:rPr>
                <w:rFonts w:ascii="標楷體" w:eastAsia="標楷體" w:hAnsi="標楷體" w:hint="eastAsia"/>
              </w:rPr>
              <w:t>，以及</w:t>
            </w:r>
            <w:r w:rsidR="00E774C9" w:rsidRPr="00BB25C2">
              <w:rPr>
                <w:rFonts w:ascii="標楷體" w:eastAsia="標楷體" w:hAnsi="標楷體" w:hint="eastAsia"/>
              </w:rPr>
              <w:t>其執行成效；如</w:t>
            </w:r>
            <w:r w:rsidR="007F3528" w:rsidRPr="00BB25C2">
              <w:rPr>
                <w:rFonts w:ascii="標楷體" w:eastAsia="標楷體" w:hAnsi="標楷體" w:hint="eastAsia"/>
              </w:rPr>
              <w:t>曾</w:t>
            </w:r>
            <w:proofErr w:type="gramStart"/>
            <w:r w:rsidR="00E774C9" w:rsidRPr="00BB25C2">
              <w:rPr>
                <w:rFonts w:ascii="標楷體" w:eastAsia="標楷體" w:hAnsi="標楷體" w:hint="eastAsia"/>
              </w:rPr>
              <w:t>研</w:t>
            </w:r>
            <w:proofErr w:type="gramEnd"/>
            <w:r w:rsidR="00E774C9" w:rsidRPr="00BB25C2">
              <w:rPr>
                <w:rFonts w:ascii="標楷體" w:eastAsia="標楷體" w:hAnsi="標楷體" w:hint="eastAsia"/>
              </w:rPr>
              <w:t>擬評估後未</w:t>
            </w:r>
            <w:r w:rsidR="007F3528" w:rsidRPr="00BB25C2">
              <w:rPr>
                <w:rFonts w:ascii="標楷體" w:eastAsia="標楷體" w:hAnsi="標楷體" w:hint="eastAsia"/>
              </w:rPr>
              <w:t>予</w:t>
            </w:r>
            <w:proofErr w:type="gramStart"/>
            <w:r w:rsidR="00E774C9" w:rsidRPr="00BB25C2">
              <w:rPr>
                <w:rFonts w:ascii="標楷體" w:eastAsia="標楷體" w:hAnsi="標楷體" w:hint="eastAsia"/>
              </w:rPr>
              <w:t>採</w:t>
            </w:r>
            <w:proofErr w:type="gramEnd"/>
            <w:r w:rsidR="00E774C9" w:rsidRPr="00BB25C2">
              <w:rPr>
                <w:rFonts w:ascii="標楷體" w:eastAsia="標楷體" w:hAnsi="標楷體" w:hint="eastAsia"/>
              </w:rPr>
              <w:t>行，</w:t>
            </w:r>
            <w:proofErr w:type="gramStart"/>
            <w:r w:rsidR="00E774C9" w:rsidRPr="00BB25C2">
              <w:rPr>
                <w:rFonts w:ascii="標楷體" w:eastAsia="標楷體" w:hAnsi="標楷體" w:hint="eastAsia"/>
              </w:rPr>
              <w:t>請敘明</w:t>
            </w:r>
            <w:proofErr w:type="gramEnd"/>
            <w:r w:rsidR="00E774C9" w:rsidRPr="00BB25C2">
              <w:rPr>
                <w:rFonts w:ascii="標楷體" w:eastAsia="標楷體" w:hAnsi="標楷體" w:hint="eastAsia"/>
              </w:rPr>
              <w:t>原因。</w:t>
            </w:r>
          </w:p>
          <w:p w:rsidR="007F3528" w:rsidRPr="00BB25C2"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F3528" w:rsidRPr="00BB25C2">
              <w:rPr>
                <w:rFonts w:ascii="標楷體" w:eastAsia="標楷體" w:hAnsi="標楷體" w:hint="eastAsia"/>
              </w:rPr>
              <w:t>最終擇定</w:t>
            </w:r>
            <w:proofErr w:type="gramStart"/>
            <w:r w:rsidR="007F3528" w:rsidRPr="00BB25C2">
              <w:rPr>
                <w:rFonts w:ascii="標楷體" w:eastAsia="標楷體" w:hAnsi="標楷體" w:hint="eastAsia"/>
              </w:rPr>
              <w:t>以</w:t>
            </w:r>
            <w:r w:rsidR="0098749F" w:rsidRPr="00BB25C2">
              <w:rPr>
                <w:rFonts w:ascii="標楷體" w:eastAsia="標楷體" w:hAnsi="標楷體" w:hint="eastAsia"/>
              </w:rPr>
              <w:t>訂</w:t>
            </w:r>
            <w:r w:rsidR="007F3528" w:rsidRPr="00BB25C2">
              <w:rPr>
                <w:rFonts w:ascii="標楷體" w:eastAsia="標楷體" w:hAnsi="標楷體" w:hint="eastAsia"/>
              </w:rPr>
              <w:t>修給與</w:t>
            </w:r>
            <w:proofErr w:type="gramEnd"/>
            <w:r w:rsidR="007F3528" w:rsidRPr="00BB25C2">
              <w:rPr>
                <w:rFonts w:ascii="標楷體" w:eastAsia="標楷體" w:hAnsi="標楷體" w:hint="eastAsia"/>
              </w:rPr>
              <w:t>項目做為主要</w:t>
            </w:r>
            <w:r w:rsidR="007F3528" w:rsidRPr="00BB25C2">
              <w:rPr>
                <w:rFonts w:ascii="標楷體" w:eastAsia="標楷體" w:hAnsi="標楷體"/>
              </w:rPr>
              <w:t>解決</w:t>
            </w:r>
            <w:r w:rsidR="007F3528" w:rsidRPr="00BB25C2">
              <w:rPr>
                <w:rFonts w:ascii="標楷體" w:eastAsia="標楷體" w:hAnsi="標楷體" w:hint="eastAsia"/>
              </w:rPr>
              <w:t>方案</w:t>
            </w:r>
            <w:r w:rsidR="007F3528" w:rsidRPr="00BB25C2">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3.1.3.3曾邀會</w:t>
            </w:r>
            <w:proofErr w:type="gramStart"/>
            <w:r w:rsidRPr="00BB25C2">
              <w:rPr>
                <w:rFonts w:ascii="標楷體" w:eastAsia="標楷體" w:hAnsi="標楷體" w:hint="eastAsia"/>
              </w:rPr>
              <w:t>研</w:t>
            </w:r>
            <w:proofErr w:type="gramEnd"/>
            <w:r w:rsidRPr="00BB25C2">
              <w:rPr>
                <w:rFonts w:ascii="標楷體" w:eastAsia="標楷體" w:hAnsi="標楷體" w:hint="eastAsia"/>
              </w:rPr>
              <w:t>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w:t>
            </w:r>
            <w:proofErr w:type="gramStart"/>
            <w:r w:rsidRPr="00BB25C2">
              <w:rPr>
                <w:rFonts w:ascii="標楷體" w:eastAsia="標楷體" w:hAnsi="標楷體" w:hint="eastAsia"/>
              </w:rPr>
              <w:t>研</w:t>
            </w:r>
            <w:proofErr w:type="gramEnd"/>
            <w:r w:rsidRPr="00BB25C2">
              <w:rPr>
                <w:rFonts w:ascii="標楷體" w:eastAsia="標楷體" w:hAnsi="標楷體" w:hint="eastAsia"/>
              </w:rPr>
              <w:t>商：</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EA6E84"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w:t>
            </w:r>
            <w:proofErr w:type="gramStart"/>
            <w:r w:rsidR="00535A1D" w:rsidRPr="00BB25C2">
              <w:rPr>
                <w:rFonts w:ascii="標楷體" w:eastAsia="標楷體" w:hAnsi="標楷體" w:hint="eastAsia"/>
              </w:rPr>
              <w:t>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w:t>
            </w:r>
            <w:proofErr w:type="gramEnd"/>
            <w:r w:rsidR="00BD73D7" w:rsidRPr="00BB25C2">
              <w:rPr>
                <w:rFonts w:ascii="標楷體" w:eastAsia="標楷體" w:hAnsi="標楷體" w:hint="eastAsia"/>
              </w:rPr>
              <w:t>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w:t>
            </w:r>
            <w:proofErr w:type="gramStart"/>
            <w:r w:rsidR="00BD73D7" w:rsidRPr="00BB25C2">
              <w:rPr>
                <w:rFonts w:ascii="標楷體" w:eastAsia="標楷體" w:hAnsi="標楷體" w:hint="eastAsia"/>
              </w:rPr>
              <w:t>研</w:t>
            </w:r>
            <w:proofErr w:type="gramEnd"/>
            <w:r w:rsidR="00BD73D7" w:rsidRPr="00BB25C2">
              <w:rPr>
                <w:rFonts w:ascii="標楷體" w:eastAsia="標楷體" w:hAnsi="標楷體" w:hint="eastAsia"/>
              </w:rPr>
              <w:t>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BB25C2">
              <w:rPr>
                <w:rFonts w:ascii="標楷體" w:eastAsia="標楷體" w:hAnsi="標楷體" w:hint="eastAsia"/>
              </w:rPr>
              <w:t>請評估</w:t>
            </w:r>
            <w:r w:rsidR="004115BD" w:rsidRPr="00BB25C2">
              <w:rPr>
                <w:rFonts w:ascii="標楷體" w:eastAsia="標楷體" w:hAnsi="標楷體" w:hint="eastAsia"/>
              </w:rPr>
              <w:t>並勾選</w:t>
            </w:r>
            <w:r w:rsidR="00546EA4" w:rsidRPr="00BB25C2">
              <w:rPr>
                <w:rFonts w:ascii="標楷體" w:eastAsia="標楷體" w:hAnsi="標楷體" w:hint="eastAsia"/>
              </w:rPr>
              <w:t>有無其他非金錢給付措施亦可達成目的，有效取代給與項目之支給。</w:t>
            </w:r>
            <w:r w:rsidR="004115BD" w:rsidRPr="00BB25C2">
              <w:rPr>
                <w:rFonts w:ascii="標楷體" w:eastAsia="標楷體" w:hAnsi="標楷體" w:hint="eastAsia"/>
              </w:rPr>
              <w:t>如有，請</w:t>
            </w:r>
            <w:r w:rsidR="001F20A2" w:rsidRPr="00BB25C2">
              <w:rPr>
                <w:rFonts w:ascii="標楷體" w:eastAsia="標楷體" w:hAnsi="標楷體" w:hint="eastAsia"/>
              </w:rPr>
              <w:t>概述</w:t>
            </w:r>
            <w:r w:rsidR="004115BD" w:rsidRPr="00BB25C2">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w:t>
            </w:r>
            <w:proofErr w:type="gramStart"/>
            <w:r w:rsidRPr="00BB25C2">
              <w:rPr>
                <w:rFonts w:ascii="標楷體" w:eastAsia="標楷體" w:hAnsi="標楷體" w:hint="eastAsia"/>
                <w:shd w:val="pct15" w:color="auto" w:fill="FFFFFF"/>
              </w:rPr>
              <w:t>免填</w:t>
            </w:r>
            <w:proofErr w:type="gramEnd"/>
            <w:r w:rsidRPr="00BB25C2">
              <w:rPr>
                <w:rFonts w:ascii="標楷體" w:eastAsia="標楷體" w:hAnsi="標楷體" w:hint="eastAsia"/>
                <w:shd w:val="pct15" w:color="auto" w:fill="FFFFFF"/>
              </w:rPr>
              <w:t>3.1.4.2符合支給目的或達成預期成效情形；辦理給與項目檢討作業時，</w:t>
            </w:r>
            <w:proofErr w:type="gramStart"/>
            <w:r w:rsidRPr="00BB25C2">
              <w:rPr>
                <w:rFonts w:ascii="標楷體" w:eastAsia="標楷體" w:hAnsi="標楷體" w:hint="eastAsia"/>
                <w:shd w:val="pct15" w:color="auto" w:fill="FFFFFF"/>
              </w:rPr>
              <w:t>免填</w:t>
            </w:r>
            <w:proofErr w:type="gramEnd"/>
            <w:r w:rsidRPr="00BB25C2">
              <w:rPr>
                <w:rFonts w:ascii="標楷體" w:eastAsia="標楷體" w:hAnsi="標楷體" w:hint="eastAsia"/>
                <w:shd w:val="pct15" w:color="auto" w:fill="FFFFFF"/>
              </w:rPr>
              <w:t>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proofErr w:type="gramStart"/>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w:t>
            </w:r>
            <w:proofErr w:type="gramEnd"/>
            <w:r w:rsidR="004D4962" w:rsidRPr="00BB25C2">
              <w:rPr>
                <w:rFonts w:ascii="標楷體" w:eastAsia="標楷體" w:hAnsi="標楷體" w:hint="eastAsia"/>
              </w:rPr>
              <w:t>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w:t>
            </w:r>
            <w:proofErr w:type="gramStart"/>
            <w:r w:rsidRPr="00BB25C2">
              <w:rPr>
                <w:rFonts w:ascii="標楷體" w:eastAsia="標楷體" w:hAnsi="標楷體" w:hint="eastAsia"/>
              </w:rPr>
              <w:t>或效度</w:t>
            </w:r>
            <w:proofErr w:type="gramEnd"/>
            <w:r w:rsidRPr="00BB25C2">
              <w:rPr>
                <w:rFonts w:ascii="標楷體" w:eastAsia="標楷體" w:hAnsi="標楷體" w:hint="eastAsia"/>
              </w:rPr>
              <w:t>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w:t>
            </w:r>
            <w:proofErr w:type="gramStart"/>
            <w:r w:rsidR="004D4962" w:rsidRPr="00BB25C2">
              <w:rPr>
                <w:rFonts w:ascii="標楷體" w:eastAsia="標楷體" w:hAnsi="標楷體" w:hint="eastAsia"/>
              </w:rPr>
              <w:t>項目</w:t>
            </w:r>
            <w:r w:rsidR="0098749F" w:rsidRPr="00BB25C2">
              <w:rPr>
                <w:rFonts w:ascii="標楷體" w:eastAsia="標楷體" w:hAnsi="標楷體" w:hint="eastAsia"/>
              </w:rPr>
              <w:t>訂</w:t>
            </w:r>
            <w:r w:rsidR="004D4962" w:rsidRPr="00BB25C2">
              <w:rPr>
                <w:rFonts w:ascii="標楷體" w:eastAsia="標楷體" w:hAnsi="標楷體" w:hint="eastAsia"/>
              </w:rPr>
              <w:t>修施行</w:t>
            </w:r>
            <w:proofErr w:type="gramEnd"/>
            <w:r w:rsidR="004D4962" w:rsidRPr="00BB25C2">
              <w:rPr>
                <w:rFonts w:ascii="標楷體" w:eastAsia="標楷體" w:hAnsi="標楷體" w:hint="eastAsia"/>
              </w:rPr>
              <w:t>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lastRenderedPageBreak/>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EA6E84" w:rsidRPr="00BB25C2" w:rsidRDefault="00EA6E84" w:rsidP="00CE32BB">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proofErr w:type="gramStart"/>
            <w:r w:rsidR="001566F7" w:rsidRPr="00BB25C2">
              <w:rPr>
                <w:rFonts w:ascii="標楷體" w:eastAsia="標楷體" w:hAnsi="標楷體" w:hint="eastAsia"/>
              </w:rPr>
              <w:t>未</w:t>
            </w:r>
            <w:r w:rsidR="008F3F9D" w:rsidRPr="00BB25C2">
              <w:rPr>
                <w:rFonts w:ascii="標楷體" w:eastAsia="標楷體" w:hAnsi="標楷體" w:hint="eastAsia"/>
              </w:rPr>
              <w:t>符支給</w:t>
            </w:r>
            <w:proofErr w:type="gramEnd"/>
            <w:r w:rsidR="008F3F9D" w:rsidRPr="00BB25C2">
              <w:rPr>
                <w:rFonts w:ascii="標楷體" w:eastAsia="標楷體" w:hAnsi="標楷體" w:hint="eastAsia"/>
              </w:rPr>
              <w:t>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34502E" w:rsidP="00F925B4">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3.2合理性評估</w:t>
            </w:r>
          </w:p>
        </w:tc>
      </w:tr>
      <w:tr w:rsidR="00BB25C2" w:rsidRPr="00BB25C2" w:rsidTr="00EB4D11">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proofErr w:type="gramStart"/>
            <w:r w:rsidR="009A1360" w:rsidRPr="00BB25C2">
              <w:rPr>
                <w:rFonts w:ascii="標楷體" w:eastAsia="標楷體" w:hAnsi="標楷體" w:hint="eastAsia"/>
              </w:rPr>
              <w:t>屆該期限</w:t>
            </w:r>
            <w:proofErr w:type="gramEnd"/>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44A4B" w:rsidRPr="00BB25C2" w:rsidRDefault="00E44A4B" w:rsidP="00E44A4B">
            <w:pPr>
              <w:adjustRightInd w:val="0"/>
              <w:snapToGrid w:val="0"/>
              <w:spacing w:line="320" w:lineRule="exact"/>
              <w:jc w:val="both"/>
              <w:rPr>
                <w:rFonts w:ascii="標楷體" w:eastAsia="標楷體" w:hAnsi="標楷體"/>
              </w:rPr>
            </w:pPr>
            <w:r w:rsidRPr="00BB25C2">
              <w:rPr>
                <w:rFonts w:ascii="標楷體" w:eastAsia="標楷體" w:hAnsi="標楷體" w:hint="eastAsia"/>
              </w:rPr>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w:t>
            </w:r>
            <w:proofErr w:type="gramStart"/>
            <w:r w:rsidRPr="00BB25C2">
              <w:rPr>
                <w:rFonts w:ascii="標楷體" w:eastAsia="標楷體" w:hAnsi="標楷體" w:hint="eastAsia"/>
              </w:rPr>
              <w:t>之匡訂應</w:t>
            </w:r>
            <w:proofErr w:type="gramEnd"/>
            <w:r w:rsidRPr="00BB25C2">
              <w:rPr>
                <w:rFonts w:ascii="標楷體" w:eastAsia="標楷體" w:hAnsi="標楷體" w:hint="eastAsia"/>
              </w:rPr>
              <w:t>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w:t>
            </w:r>
            <w:proofErr w:type="gramStart"/>
            <w:r w:rsidRPr="00BB25C2">
              <w:rPr>
                <w:rFonts w:ascii="標楷體" w:eastAsia="標楷體" w:hAnsi="標楷體" w:hint="eastAsia"/>
              </w:rPr>
              <w:t>與非支給</w:t>
            </w:r>
            <w:proofErr w:type="gramEnd"/>
            <w:r w:rsidRPr="00BB25C2">
              <w:rPr>
                <w:rFonts w:ascii="標楷體" w:eastAsia="標楷體" w:hAnsi="標楷體" w:hint="eastAsia"/>
              </w:rPr>
              <w:t>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9435DF">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w:t>
            </w:r>
            <w:r w:rsidRPr="00BB25C2">
              <w:rPr>
                <w:rFonts w:ascii="標楷體" w:eastAsia="標楷體" w:hAnsi="標楷體" w:hint="eastAsia"/>
              </w:rPr>
              <w:lastRenderedPageBreak/>
              <w:t>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w:t>
            </w:r>
            <w:proofErr w:type="gramStart"/>
            <w:r w:rsidR="009435DF" w:rsidRPr="00BB25C2">
              <w:rPr>
                <w:rFonts w:ascii="標楷體" w:eastAsia="標楷體" w:hAnsi="標楷體" w:hint="eastAsia"/>
              </w:rPr>
              <w:t>併</w:t>
            </w:r>
            <w:proofErr w:type="gramEnd"/>
            <w:r w:rsidR="009435DF" w:rsidRPr="00BB25C2">
              <w:rPr>
                <w:rFonts w:ascii="標楷體" w:eastAsia="標楷體" w:hAnsi="標楷體" w:hint="eastAsia"/>
              </w:rPr>
              <w:t>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proofErr w:type="gramStart"/>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w:t>
            </w:r>
            <w:proofErr w:type="gramEnd"/>
            <w:r w:rsidR="00097D37" w:rsidRPr="00BB25C2">
              <w:rPr>
                <w:rFonts w:ascii="標楷體" w:eastAsia="標楷體" w:hAnsi="標楷體" w:hint="eastAsia"/>
              </w:rPr>
              <w:t>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w:t>
            </w:r>
            <w:proofErr w:type="gramStart"/>
            <w:r w:rsidRPr="00BB25C2">
              <w:rPr>
                <w:rFonts w:ascii="標楷體" w:eastAsia="標楷體" w:hAnsi="標楷體" w:hint="eastAsia"/>
              </w:rPr>
              <w:t>外部衡平性</w:t>
            </w:r>
            <w:proofErr w:type="gramEnd"/>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w:t>
            </w:r>
            <w:proofErr w:type="gramStart"/>
            <w:r w:rsidR="00097D37" w:rsidRPr="00BB25C2">
              <w:rPr>
                <w:rFonts w:ascii="標楷體" w:eastAsia="標楷體" w:hAnsi="標楷體" w:hint="eastAsia"/>
              </w:rPr>
              <w:t>人員之衡平</w:t>
            </w:r>
            <w:proofErr w:type="gramEnd"/>
            <w:r w:rsidR="00097D37" w:rsidRPr="00BB25C2">
              <w:rPr>
                <w:rFonts w:ascii="標楷體" w:eastAsia="標楷體" w:hAnsi="標楷體" w:hint="eastAsia"/>
              </w:rPr>
              <w:t>；類此機關(人員)</w:t>
            </w:r>
            <w:proofErr w:type="gramStart"/>
            <w:r w:rsidR="00097D37" w:rsidRPr="00BB25C2">
              <w:rPr>
                <w:rFonts w:ascii="標楷體" w:eastAsia="標楷體" w:hAnsi="標楷體" w:hint="eastAsia"/>
              </w:rPr>
              <w:t>援比之</w:t>
            </w:r>
            <w:proofErr w:type="gramEnd"/>
            <w:r w:rsidR="00097D37" w:rsidRPr="00BB25C2">
              <w:rPr>
                <w:rFonts w:ascii="標楷體" w:eastAsia="標楷體" w:hAnsi="標楷體" w:hint="eastAsia"/>
              </w:rPr>
              <w:t>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proofErr w:type="gramStart"/>
            <w:r w:rsidR="00535A1D" w:rsidRPr="00BB25C2">
              <w:rPr>
                <w:rFonts w:ascii="標楷體" w:eastAsia="標楷體" w:hAnsi="標楷體" w:hint="eastAsia"/>
              </w:rPr>
              <w:t>水準</w:t>
            </w:r>
            <w:r w:rsidR="00097D37" w:rsidRPr="00BB25C2">
              <w:rPr>
                <w:rFonts w:ascii="標楷體" w:eastAsia="標楷體" w:hAnsi="標楷體" w:hint="eastAsia"/>
              </w:rPr>
              <w:t>之衡平</w:t>
            </w:r>
            <w:proofErr w:type="gramEnd"/>
            <w:r w:rsidR="00097D37" w:rsidRPr="00BB25C2">
              <w:rPr>
                <w:rFonts w:ascii="標楷體" w:eastAsia="標楷體" w:hAnsi="標楷體" w:hint="eastAsia"/>
              </w:rPr>
              <w:t>。</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w:t>
            </w:r>
            <w:r w:rsidRPr="00BB25C2">
              <w:rPr>
                <w:rFonts w:ascii="標楷體" w:eastAsia="標楷體" w:hAnsi="標楷體" w:hint="eastAsia"/>
              </w:rPr>
              <w:lastRenderedPageBreak/>
              <w:t>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w:t>
            </w:r>
            <w:proofErr w:type="gramStart"/>
            <w:r w:rsidR="00AD53CF" w:rsidRPr="00BB25C2">
              <w:rPr>
                <w:rFonts w:ascii="標楷體" w:eastAsia="標楷體" w:hAnsi="標楷體" w:hint="eastAsia"/>
              </w:rPr>
              <w:t>請敘明理</w:t>
            </w:r>
            <w:proofErr w:type="gramEnd"/>
            <w:r w:rsidR="00AD53CF" w:rsidRPr="00BB25C2">
              <w:rPr>
                <w:rFonts w:ascii="標楷體" w:eastAsia="標楷體" w:hAnsi="標楷體" w:hint="eastAsia"/>
              </w:rPr>
              <w:t>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w:t>
            </w:r>
            <w:proofErr w:type="gramStart"/>
            <w:r w:rsidRPr="00BB25C2">
              <w:rPr>
                <w:rFonts w:ascii="標楷體" w:eastAsia="標楷體" w:hAnsi="標楷體" w:hint="eastAsia"/>
              </w:rPr>
              <w:t>支領或抵充</w:t>
            </w:r>
            <w:proofErr w:type="gramEnd"/>
            <w:r w:rsidRPr="00BB25C2">
              <w:rPr>
                <w:rFonts w:ascii="標楷體" w:eastAsia="標楷體" w:hAnsi="標楷體" w:hint="eastAsia"/>
              </w:rPr>
              <w:t>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rPr>
              <w:lastRenderedPageBreak/>
              <w:t xml:space="preserve">  </w:t>
            </w:r>
            <w:r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w:t>
            </w:r>
            <w:proofErr w:type="gramStart"/>
            <w:r w:rsidRPr="00BB25C2">
              <w:rPr>
                <w:rFonts w:ascii="標楷體" w:eastAsia="標楷體" w:hAnsi="標楷體" w:hint="eastAsia"/>
                <w:shd w:val="pct15" w:color="auto" w:fill="FFFFFF"/>
              </w:rPr>
              <w:t>機關免填</w:t>
            </w:r>
            <w:proofErr w:type="gramEnd"/>
            <w:r w:rsidR="002C58EC" w:rsidRPr="00BB25C2">
              <w:rPr>
                <w:rFonts w:ascii="標楷體" w:eastAsia="標楷體" w:hAnsi="標楷體" w:hint="eastAsia"/>
                <w:shd w:val="pct15" w:color="auto" w:fill="FFFFFF"/>
              </w:rPr>
              <w:t>3.3.4事業經營成效；事業</w:t>
            </w:r>
            <w:proofErr w:type="gramStart"/>
            <w:r w:rsidR="002C58EC" w:rsidRPr="00BB25C2">
              <w:rPr>
                <w:rFonts w:ascii="標楷體" w:eastAsia="標楷體" w:hAnsi="標楷體" w:hint="eastAsia"/>
                <w:shd w:val="pct15" w:color="auto" w:fill="FFFFFF"/>
              </w:rPr>
              <w:t>機構免填</w:t>
            </w:r>
            <w:proofErr w:type="gramEnd"/>
            <w:r w:rsidR="002C58EC" w:rsidRPr="00BB25C2">
              <w:rPr>
                <w:rFonts w:ascii="標楷體" w:eastAsia="標楷體" w:hAnsi="標楷體" w:hint="eastAsia"/>
                <w:shd w:val="pct15" w:color="auto" w:fill="FFFFFF"/>
              </w:rPr>
              <w:t>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請以12個月估算，並詳述計算方法，包含</w:t>
            </w:r>
            <w:proofErr w:type="gramStart"/>
            <w:r w:rsidR="000710F3" w:rsidRPr="00BB25C2">
              <w:rPr>
                <w:rFonts w:ascii="標楷體" w:eastAsia="標楷體" w:hAnsi="標楷體" w:hint="eastAsia"/>
              </w:rPr>
              <w:t>訂</w:t>
            </w:r>
            <w:r w:rsidRPr="00BB25C2">
              <w:rPr>
                <w:rFonts w:ascii="標楷體" w:eastAsia="標楷體" w:hAnsi="標楷體" w:hint="eastAsia"/>
              </w:rPr>
              <w:t>修前</w:t>
            </w:r>
            <w:proofErr w:type="gramEnd"/>
            <w:r w:rsidRPr="00BB25C2">
              <w:rPr>
                <w:rFonts w:ascii="標楷體" w:eastAsia="標楷體" w:hAnsi="標楷體" w:hint="eastAsia"/>
              </w:rPr>
              <w:t>、後之增(減)經費數額。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B90892">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E80145"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w:t>
            </w:r>
            <w:proofErr w:type="gramStart"/>
            <w:r w:rsidR="00D845F3" w:rsidRPr="00BB25C2">
              <w:rPr>
                <w:rFonts w:ascii="標楷體" w:eastAsia="標楷體" w:hAnsi="標楷體" w:hint="eastAsia"/>
              </w:rPr>
              <w:t>均請簡述</w:t>
            </w:r>
            <w:proofErr w:type="gramEnd"/>
            <w:r w:rsidR="00D845F3" w:rsidRPr="00BB25C2">
              <w:rPr>
                <w:rFonts w:ascii="標楷體" w:eastAsia="標楷體" w:hAnsi="標楷體" w:hint="eastAsia"/>
              </w:rPr>
              <w:t>計算結果)</w:t>
            </w:r>
            <w:r w:rsidRPr="00BB25C2">
              <w:rPr>
                <w:rFonts w:ascii="標楷體" w:eastAsia="標楷體" w:hAnsi="標楷體" w:hint="eastAsia"/>
              </w:rPr>
              <w:t>：</w:t>
            </w:r>
          </w:p>
          <w:p w:rsidR="00561759"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E80145"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w:t>
            </w:r>
            <w:r w:rsidR="00D845F3" w:rsidRPr="00BB25C2">
              <w:rPr>
                <w:rFonts w:ascii="標楷體" w:eastAsia="標楷體" w:hAnsi="標楷體" w:hint="eastAsia"/>
              </w:rPr>
              <w:t>否</w:t>
            </w:r>
            <w:r w:rsidRPr="00BB25C2">
              <w:rPr>
                <w:rFonts w:ascii="標楷體" w:eastAsia="標楷體" w:hAnsi="標楷體" w:hint="eastAsia"/>
              </w:rPr>
              <w:t>(請敘</w:t>
            </w:r>
            <w:proofErr w:type="gramEnd"/>
            <w:r w:rsidRPr="00BB25C2">
              <w:rPr>
                <w:rFonts w:ascii="標楷體" w:eastAsia="標楷體" w:hAnsi="標楷體" w:hint="eastAsia"/>
              </w:rPr>
              <w:t>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w:t>
            </w:r>
            <w:proofErr w:type="gramStart"/>
            <w:r w:rsidRPr="00BB25C2">
              <w:rPr>
                <w:rFonts w:ascii="標楷體" w:eastAsia="標楷體" w:hAnsi="標楷體" w:hint="eastAsia"/>
              </w:rPr>
              <w:t>負擔前宜先</w:t>
            </w:r>
            <w:proofErr w:type="gramEnd"/>
            <w:r w:rsidRPr="00BB25C2">
              <w:rPr>
                <w:rFonts w:ascii="標楷體" w:eastAsia="標楷體" w:hAnsi="標楷體" w:hint="eastAsia"/>
              </w:rPr>
              <w:t>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w:t>
            </w:r>
            <w:proofErr w:type="gramStart"/>
            <w:r w:rsidR="00490586" w:rsidRPr="00BB25C2">
              <w:rPr>
                <w:rFonts w:ascii="標楷體" w:eastAsia="標楷體" w:hAnsi="標楷體" w:hint="eastAsia"/>
              </w:rPr>
              <w:t>俾</w:t>
            </w:r>
            <w:proofErr w:type="gramEnd"/>
            <w:r w:rsidR="00490586" w:rsidRPr="00BB25C2">
              <w:rPr>
                <w:rFonts w:ascii="標楷體" w:eastAsia="標楷體" w:hAnsi="標楷體" w:hint="eastAsia"/>
              </w:rPr>
              <w:t>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w:t>
            </w:r>
            <w:proofErr w:type="gramStart"/>
            <w:r w:rsidR="00F43286" w:rsidRPr="00BB25C2">
              <w:rPr>
                <w:rFonts w:ascii="標楷體" w:eastAsia="標楷體" w:hAnsi="標楷體" w:hint="eastAsia"/>
              </w:rPr>
              <w:t>≧</w:t>
            </w:r>
            <w:proofErr w:type="gramEnd"/>
            <w:r w:rsidR="00F43286" w:rsidRPr="00BB25C2">
              <w:rPr>
                <w:rFonts w:ascii="標楷體" w:eastAsia="標楷體" w:hAnsi="標楷體" w:hint="eastAsia"/>
              </w:rPr>
              <w:t>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36630" w:rsidRPr="00BB25C2" w:rsidRDefault="00D36630"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w:t>
            </w:r>
            <w:proofErr w:type="gramStart"/>
            <w:r w:rsidR="009C02E6" w:rsidRPr="00BB25C2">
              <w:rPr>
                <w:rFonts w:ascii="標楷體" w:eastAsia="標楷體" w:hAnsi="標楷體" w:hint="eastAsia"/>
              </w:rPr>
              <w:t>同意均由其</w:t>
            </w:r>
            <w:proofErr w:type="gramEnd"/>
            <w:r w:rsidR="009C02E6" w:rsidRPr="00BB25C2">
              <w:rPr>
                <w:rFonts w:ascii="標楷體" w:eastAsia="標楷體" w:hAnsi="標楷體" w:hint="eastAsia"/>
              </w:rPr>
              <w:t>自籌財源支應：</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w:t>
            </w:r>
            <w:r w:rsidR="00D36630" w:rsidRPr="00BB25C2">
              <w:rPr>
                <w:rFonts w:ascii="標楷體" w:eastAsia="標楷體" w:hAnsi="標楷體" w:hint="eastAsia"/>
              </w:rPr>
              <w:t>□</w:t>
            </w:r>
            <w:r w:rsidRPr="00BB25C2">
              <w:rPr>
                <w:rFonts w:ascii="標楷體" w:eastAsia="標楷體" w:hAnsi="標楷體" w:hint="eastAsia"/>
              </w:rPr>
              <w:t>是</w:t>
            </w:r>
          </w:p>
          <w:p w:rsidR="00D36630" w:rsidRPr="00BB25C2" w:rsidRDefault="009C02E6"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00D36630" w:rsidRPr="00BB25C2">
              <w:rPr>
                <w:rFonts w:ascii="標楷體" w:eastAsia="標楷體" w:hAnsi="標楷體" w:hint="eastAsia"/>
              </w:rPr>
              <w:t>□否(請敘</w:t>
            </w:r>
            <w:proofErr w:type="gramEnd"/>
            <w:r w:rsidR="00D36630" w:rsidRPr="00BB25C2">
              <w:rPr>
                <w:rFonts w:ascii="標楷體" w:eastAsia="標楷體" w:hAnsi="標楷體" w:hint="eastAsia"/>
              </w:rPr>
              <w:t>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依司法院釋字第550號解釋意旨，中央機關統籌辦理給與</w:t>
            </w:r>
            <w:proofErr w:type="gramStart"/>
            <w:r w:rsidRPr="00BB25C2">
              <w:rPr>
                <w:rFonts w:ascii="標楷體" w:eastAsia="標楷體" w:hAnsi="標楷體" w:hint="eastAsia"/>
              </w:rPr>
              <w:t>項目</w:t>
            </w:r>
            <w:r w:rsidR="00B61689" w:rsidRPr="00BB25C2">
              <w:rPr>
                <w:rFonts w:ascii="標楷體" w:eastAsia="標楷體" w:hAnsi="標楷體" w:hint="eastAsia"/>
              </w:rPr>
              <w:t>訂</w:t>
            </w:r>
            <w:r w:rsidRPr="00BB25C2">
              <w:rPr>
                <w:rFonts w:ascii="標楷體" w:eastAsia="標楷體" w:hAnsi="標楷體" w:hint="eastAsia"/>
              </w:rPr>
              <w:t>修作業</w:t>
            </w:r>
            <w:proofErr w:type="gramEnd"/>
            <w:r w:rsidRPr="00BB25C2">
              <w:rPr>
                <w:rFonts w:ascii="標楷體" w:eastAsia="標楷體" w:hAnsi="標楷體" w:hint="eastAsia"/>
              </w:rPr>
              <w:t>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w:t>
            </w:r>
            <w:proofErr w:type="gramStart"/>
            <w:r w:rsidR="00D36630" w:rsidRPr="00BB25C2">
              <w:rPr>
                <w:rFonts w:ascii="標楷體" w:eastAsia="標楷體" w:hAnsi="標楷體" w:hint="eastAsia"/>
              </w:rPr>
              <w:t>踐行</w:t>
            </w:r>
            <w:proofErr w:type="gramEnd"/>
            <w:r w:rsidR="00D36630" w:rsidRPr="00BB25C2">
              <w:rPr>
                <w:rFonts w:ascii="標楷體" w:eastAsia="標楷體" w:hAnsi="標楷體" w:hint="eastAsia"/>
              </w:rPr>
              <w:t>上開程</w:t>
            </w:r>
            <w:r w:rsidR="00D36630" w:rsidRPr="00BB25C2">
              <w:rPr>
                <w:rFonts w:ascii="標楷體" w:eastAsia="標楷體" w:hAnsi="標楷體" w:hint="eastAsia"/>
              </w:rPr>
              <w:lastRenderedPageBreak/>
              <w:t>序。</w:t>
            </w:r>
          </w:p>
        </w:tc>
      </w:tr>
      <w:tr w:rsidR="00BB25C2" w:rsidRPr="00BB25C2" w:rsidTr="003A7305">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w:t>
            </w:r>
            <w:proofErr w:type="gramStart"/>
            <w:r w:rsidRPr="00BB25C2">
              <w:rPr>
                <w:rFonts w:ascii="標楷體" w:eastAsia="標楷體" w:hAnsi="標楷體" w:hint="eastAsia"/>
              </w:rPr>
              <w:t>均請簡述</w:t>
            </w:r>
            <w:proofErr w:type="gramEnd"/>
            <w:r w:rsidRPr="00BB25C2">
              <w:rPr>
                <w:rFonts w:ascii="標楷體" w:eastAsia="標楷體" w:hAnsi="標楷體" w:hint="eastAsia"/>
              </w:rPr>
              <w:t>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w:t>
            </w:r>
            <w:proofErr w:type="gramEnd"/>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w:t>
            </w:r>
            <w:proofErr w:type="gramStart"/>
            <w:r w:rsidRPr="00BB25C2">
              <w:rPr>
                <w:rFonts w:ascii="標楷體" w:eastAsia="標楷體" w:hAnsi="標楷體" w:hint="eastAsia"/>
              </w:rPr>
              <w:t>均請簡述</w:t>
            </w:r>
            <w:proofErr w:type="gramEnd"/>
            <w:r w:rsidRPr="00BB25C2">
              <w:rPr>
                <w:rFonts w:ascii="標楷體" w:eastAsia="標楷體" w:hAnsi="標楷體" w:hint="eastAsia"/>
              </w:rPr>
              <w:t>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w:t>
            </w:r>
            <w:proofErr w:type="gramEnd"/>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w:t>
            </w:r>
            <w:proofErr w:type="gramStart"/>
            <w:r w:rsidRPr="00BB25C2">
              <w:rPr>
                <w:rFonts w:ascii="標楷體" w:eastAsia="標楷體" w:hAnsi="標楷體" w:hint="eastAsia"/>
              </w:rPr>
              <w:t>俾</w:t>
            </w:r>
            <w:proofErr w:type="gramEnd"/>
            <w:r w:rsidRPr="00BB25C2">
              <w:rPr>
                <w:rFonts w:ascii="標楷體" w:eastAsia="標楷體" w:hAnsi="標楷體" w:hint="eastAsia"/>
              </w:rPr>
              <w:t>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w:t>
            </w:r>
            <w:proofErr w:type="gramStart"/>
            <w:r w:rsidRPr="00BB25C2">
              <w:rPr>
                <w:rFonts w:ascii="標楷體" w:eastAsia="標楷體" w:hAnsi="標楷體" w:hint="eastAsia"/>
              </w:rPr>
              <w:t>─</w:t>
            </w:r>
            <w:proofErr w:type="gramEnd"/>
            <w:r w:rsidRPr="00BB25C2">
              <w:rPr>
                <w:rFonts w:ascii="標楷體" w:eastAsia="標楷體" w:hAnsi="標楷體" w:hint="eastAsia"/>
              </w:rPr>
              <w:t>本年度中央(地方)政府總預算歲出總數</w:t>
            </w:r>
            <w:proofErr w:type="gramStart"/>
            <w:r w:rsidRPr="00BB25C2">
              <w:rPr>
                <w:rFonts w:ascii="標楷體" w:eastAsia="標楷體" w:hAnsi="標楷體" w:hint="eastAsia"/>
              </w:rPr>
              <w:t>≧</w:t>
            </w:r>
            <w:proofErr w:type="gramEnd"/>
            <w:r w:rsidRPr="00BB25C2">
              <w:rPr>
                <w:rFonts w:ascii="標楷體" w:eastAsia="標楷體" w:hAnsi="標楷體" w:hint="eastAsia"/>
              </w:rPr>
              <w:t>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w:t>
            </w:r>
            <w:proofErr w:type="gramStart"/>
            <w:r w:rsidRPr="00BB25C2">
              <w:rPr>
                <w:rFonts w:ascii="標楷體" w:eastAsia="標楷體" w:hAnsi="標楷體" w:hint="eastAsia"/>
              </w:rPr>
              <w:t>均請簡述</w:t>
            </w:r>
            <w:proofErr w:type="gramEnd"/>
            <w:r w:rsidRPr="00BB25C2">
              <w:rPr>
                <w:rFonts w:ascii="標楷體" w:eastAsia="標楷體" w:hAnsi="標楷體" w:hint="eastAsia"/>
              </w:rPr>
              <w:t>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w:t>
            </w:r>
            <w:proofErr w:type="gramEnd"/>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w:t>
            </w:r>
            <w:proofErr w:type="gramStart"/>
            <w:r w:rsidRPr="00BB25C2">
              <w:rPr>
                <w:rFonts w:ascii="標楷體" w:eastAsia="標楷體" w:hAnsi="標楷體" w:hint="eastAsia"/>
              </w:rPr>
              <w:t>俾</w:t>
            </w:r>
            <w:proofErr w:type="gramEnd"/>
            <w:r w:rsidRPr="00BB25C2">
              <w:rPr>
                <w:rFonts w:ascii="標楷體" w:eastAsia="標楷體" w:hAnsi="標楷體" w:hint="eastAsia"/>
              </w:rPr>
              <w:t>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proofErr w:type="gramStart"/>
            <w:r w:rsidRPr="00BB25C2">
              <w:rPr>
                <w:rFonts w:ascii="標楷體" w:eastAsia="標楷體" w:hAnsi="標楷體" w:hint="eastAsia"/>
              </w:rPr>
              <w:t>─</w:t>
            </w:r>
            <w:proofErr w:type="gramEnd"/>
            <w:r w:rsidRPr="00BB25C2">
              <w:rPr>
                <w:rFonts w:ascii="標楷體" w:eastAsia="標楷體" w:hAnsi="標楷體" w:hint="eastAsia"/>
              </w:rPr>
              <w:t>上年度歲入預算編列</w:t>
            </w:r>
            <w:r w:rsidR="00F06336" w:rsidRPr="00BB25C2">
              <w:rPr>
                <w:rFonts w:ascii="標楷體" w:eastAsia="標楷體" w:hAnsi="標楷體" w:hint="eastAsia"/>
              </w:rPr>
              <w:t>合計數</w:t>
            </w:r>
            <w:proofErr w:type="gramStart"/>
            <w:r w:rsidRPr="00BB25C2">
              <w:rPr>
                <w:rFonts w:ascii="標楷體" w:eastAsia="標楷體" w:hAnsi="標楷體" w:hint="eastAsia"/>
              </w:rPr>
              <w:t>≧</w:t>
            </w:r>
            <w:proofErr w:type="gramEnd"/>
            <w:r w:rsidRPr="00BB25C2">
              <w:rPr>
                <w:rFonts w:ascii="標楷體" w:eastAsia="標楷體" w:hAnsi="標楷體" w:hint="eastAsia"/>
              </w:rPr>
              <w:t>0，前二年度亦同。</w:t>
            </w:r>
          </w:p>
        </w:tc>
      </w:tr>
      <w:tr w:rsidR="00BB25C2" w:rsidRPr="00BB25C2" w:rsidTr="003442D6">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w:t>
            </w:r>
            <w:proofErr w:type="gramStart"/>
            <w:r w:rsidRPr="00BB25C2">
              <w:rPr>
                <w:rFonts w:ascii="標楷體" w:eastAsia="標楷體" w:hAnsi="標楷體" w:hint="eastAsia"/>
              </w:rPr>
              <w:t>均請簡述</w:t>
            </w:r>
            <w:proofErr w:type="gramEnd"/>
            <w:r w:rsidRPr="00BB25C2">
              <w:rPr>
                <w:rFonts w:ascii="標楷體" w:eastAsia="標楷體" w:hAnsi="標楷體" w:hint="eastAsia"/>
              </w:rPr>
              <w:t>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□否(請敘</w:t>
            </w:r>
            <w:proofErr w:type="gramEnd"/>
            <w:r w:rsidRPr="00BB25C2">
              <w:rPr>
                <w:rFonts w:ascii="標楷體" w:eastAsia="標楷體" w:hAnsi="標楷體" w:hint="eastAsia"/>
              </w:rPr>
              <w:t>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w:t>
            </w:r>
            <w:proofErr w:type="gramStart"/>
            <w:r w:rsidRPr="00BB25C2">
              <w:rPr>
                <w:rFonts w:ascii="標楷體" w:eastAsia="標楷體" w:hAnsi="標楷體" w:hint="eastAsia"/>
              </w:rPr>
              <w:t>俾</w:t>
            </w:r>
            <w:proofErr w:type="gramEnd"/>
            <w:r w:rsidRPr="00BB25C2">
              <w:rPr>
                <w:rFonts w:ascii="標楷體" w:eastAsia="標楷體" w:hAnsi="標楷體" w:hint="eastAsia"/>
              </w:rPr>
              <w:t>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w:t>
            </w:r>
            <w:proofErr w:type="gramStart"/>
            <w:r w:rsidR="00F43286" w:rsidRPr="00BB25C2">
              <w:rPr>
                <w:rFonts w:ascii="標楷體" w:eastAsia="標楷體" w:hAnsi="標楷體" w:hint="eastAsia"/>
              </w:rPr>
              <w:t>≧</w:t>
            </w:r>
            <w:proofErr w:type="gramEnd"/>
            <w:r w:rsidR="00F43286" w:rsidRPr="00BB25C2">
              <w:rPr>
                <w:rFonts w:ascii="標楷體" w:eastAsia="標楷體" w:hAnsi="標楷體" w:hint="eastAsia"/>
              </w:rPr>
              <w:t>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w:t>
            </w:r>
            <w:proofErr w:type="gramStart"/>
            <w:r w:rsidRPr="00BB25C2">
              <w:rPr>
                <w:rFonts w:ascii="標楷體" w:eastAsia="標楷體" w:hAnsi="標楷體" w:hint="eastAsia"/>
              </w:rPr>
              <w:t>均請簡述</w:t>
            </w:r>
            <w:proofErr w:type="gramEnd"/>
            <w:r w:rsidRPr="00BB25C2">
              <w:rPr>
                <w:rFonts w:ascii="標楷體" w:eastAsia="標楷體" w:hAnsi="標楷體" w:hint="eastAsia"/>
              </w:rPr>
              <w:t>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roofErr w:type="gramStart"/>
            <w:r w:rsidRPr="00BB25C2">
              <w:rPr>
                <w:rFonts w:ascii="標楷體" w:eastAsia="標楷體" w:hAnsi="標楷體" w:hint="eastAsia"/>
              </w:rPr>
              <w:t>□否(請敘</w:t>
            </w:r>
            <w:proofErr w:type="gramEnd"/>
            <w:r w:rsidRPr="00BB25C2">
              <w:rPr>
                <w:rFonts w:ascii="標楷體" w:eastAsia="標楷體" w:hAnsi="標楷體" w:hint="eastAsia"/>
              </w:rPr>
              <w:t>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w:t>
            </w:r>
            <w:proofErr w:type="gramStart"/>
            <w:r w:rsidRPr="00BB25C2">
              <w:rPr>
                <w:rFonts w:ascii="標楷體" w:eastAsia="標楷體" w:hAnsi="標楷體" w:hint="eastAsia"/>
              </w:rPr>
              <w:t>俾</w:t>
            </w:r>
            <w:proofErr w:type="gramEnd"/>
            <w:r w:rsidRPr="00BB25C2">
              <w:rPr>
                <w:rFonts w:ascii="標楷體" w:eastAsia="標楷體" w:hAnsi="標楷體" w:hint="eastAsia"/>
              </w:rPr>
              <w:t>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w:t>
            </w:r>
            <w:proofErr w:type="gramStart"/>
            <w:r w:rsidR="00F43286" w:rsidRPr="00BB25C2">
              <w:rPr>
                <w:rFonts w:ascii="標楷體" w:eastAsia="標楷體" w:hAnsi="標楷體" w:hint="eastAsia"/>
              </w:rPr>
              <w:t>─</w:t>
            </w:r>
            <w:proofErr w:type="gramEnd"/>
            <w:r w:rsidR="00F43286" w:rsidRPr="00BB25C2">
              <w:rPr>
                <w:rFonts w:ascii="標楷體" w:eastAsia="標楷體" w:hAnsi="標楷體" w:hint="eastAsia"/>
              </w:rPr>
              <w:t>上年度淨利（虧損）</w:t>
            </w:r>
            <w:proofErr w:type="gramStart"/>
            <w:r w:rsidR="00F43286" w:rsidRPr="00BB25C2">
              <w:rPr>
                <w:rFonts w:ascii="標楷體" w:eastAsia="標楷體" w:hAnsi="標楷體" w:hint="eastAsia"/>
              </w:rPr>
              <w:t>≧</w:t>
            </w:r>
            <w:proofErr w:type="gramEnd"/>
            <w:r w:rsidR="00F43286" w:rsidRPr="00BB25C2">
              <w:rPr>
                <w:rFonts w:ascii="標楷體" w:eastAsia="標楷體" w:hAnsi="標楷體" w:hint="eastAsia"/>
              </w:rPr>
              <w:t>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w:t>
            </w:r>
            <w:proofErr w:type="gramStart"/>
            <w:r w:rsidR="004F66AA" w:rsidRPr="00BB25C2">
              <w:rPr>
                <w:rFonts w:ascii="標楷體" w:eastAsia="標楷體" w:hAnsi="標楷體" w:hint="eastAsia"/>
              </w:rPr>
              <w:t>卹</w:t>
            </w:r>
            <w:proofErr w:type="gramEnd"/>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proofErr w:type="gramStart"/>
            <w:r w:rsidRPr="00BB25C2">
              <w:rPr>
                <w:rFonts w:ascii="標楷體" w:eastAsia="標楷體" w:hAnsi="標楷體" w:hint="eastAsia"/>
              </w:rPr>
              <w:t>併請</w:t>
            </w:r>
            <w:r w:rsidR="002E5710" w:rsidRPr="00BB25C2">
              <w:rPr>
                <w:rFonts w:ascii="標楷體" w:eastAsia="標楷體" w:hAnsi="標楷體" w:hint="eastAsia"/>
              </w:rPr>
              <w:t>敘</w:t>
            </w:r>
            <w:proofErr w:type="gramEnd"/>
            <w:r w:rsidR="002E5710" w:rsidRPr="00BB25C2">
              <w:rPr>
                <w:rFonts w:ascii="標楷體" w:eastAsia="標楷體" w:hAnsi="標楷體" w:hint="eastAsia"/>
              </w:rPr>
              <w:t>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9"/>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DA" w:rsidRDefault="00AB5EDA" w:rsidP="00284C47">
      <w:r>
        <w:separator/>
      </w:r>
    </w:p>
  </w:endnote>
  <w:endnote w:type="continuationSeparator" w:id="0">
    <w:p w:rsidR="00AB5EDA" w:rsidRDefault="00AB5EDA"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33246"/>
      <w:docPartObj>
        <w:docPartGallery w:val="Page Numbers (Bottom of Page)"/>
        <w:docPartUnique/>
      </w:docPartObj>
    </w:sdtPr>
    <w:sdtEndPr/>
    <w:sdtContent>
      <w:p w:rsidR="007E0EF9" w:rsidRDefault="007E0EF9">
        <w:pPr>
          <w:pStyle w:val="a7"/>
          <w:jc w:val="center"/>
        </w:pPr>
        <w:r>
          <w:fldChar w:fldCharType="begin"/>
        </w:r>
        <w:r>
          <w:instrText>PAGE   \* MERGEFORMAT</w:instrText>
        </w:r>
        <w:r>
          <w:fldChar w:fldCharType="separate"/>
        </w:r>
        <w:r w:rsidR="00BC33FA" w:rsidRPr="00BC33FA">
          <w:rPr>
            <w:noProof/>
            <w:lang w:val="zh-TW"/>
          </w:rPr>
          <w:t>1</w:t>
        </w:r>
        <w:r>
          <w:fldChar w:fldCharType="end"/>
        </w:r>
      </w:p>
    </w:sdtContent>
  </w:sdt>
  <w:p w:rsidR="007E0EF9" w:rsidRDefault="007E0E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DA" w:rsidRDefault="00AB5EDA" w:rsidP="00284C47">
      <w:r>
        <w:separator/>
      </w:r>
    </w:p>
  </w:footnote>
  <w:footnote w:type="continuationSeparator" w:id="0">
    <w:p w:rsidR="00AB5EDA" w:rsidRDefault="00AB5EDA" w:rsidP="0028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0"/>
  </w:num>
  <w:num w:numId="4">
    <w:abstractNumId w:val="20"/>
  </w:num>
  <w:num w:numId="5">
    <w:abstractNumId w:val="6"/>
  </w:num>
  <w:num w:numId="6">
    <w:abstractNumId w:val="1"/>
  </w:num>
  <w:num w:numId="7">
    <w:abstractNumId w:val="2"/>
  </w:num>
  <w:num w:numId="8">
    <w:abstractNumId w:val="8"/>
  </w:num>
  <w:num w:numId="9">
    <w:abstractNumId w:val="12"/>
  </w:num>
  <w:num w:numId="10">
    <w:abstractNumId w:val="11"/>
  </w:num>
  <w:num w:numId="11">
    <w:abstractNumId w:val="19"/>
  </w:num>
  <w:num w:numId="12">
    <w:abstractNumId w:val="15"/>
  </w:num>
  <w:num w:numId="13">
    <w:abstractNumId w:val="3"/>
  </w:num>
  <w:num w:numId="14">
    <w:abstractNumId w:val="18"/>
  </w:num>
  <w:num w:numId="15">
    <w:abstractNumId w:val="7"/>
  </w:num>
  <w:num w:numId="16">
    <w:abstractNumId w:val="17"/>
  </w:num>
  <w:num w:numId="17">
    <w:abstractNumId w:val="14"/>
  </w:num>
  <w:num w:numId="18">
    <w:abstractNumId w:val="13"/>
  </w:num>
  <w:num w:numId="19">
    <w:abstractNumId w:val="16"/>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5"/>
    <w:rsid w:val="00004DAC"/>
    <w:rsid w:val="00033F5A"/>
    <w:rsid w:val="00034895"/>
    <w:rsid w:val="000366A0"/>
    <w:rsid w:val="00040E59"/>
    <w:rsid w:val="000710F3"/>
    <w:rsid w:val="00081D0C"/>
    <w:rsid w:val="00084ADB"/>
    <w:rsid w:val="00086CE7"/>
    <w:rsid w:val="00087D69"/>
    <w:rsid w:val="000930E0"/>
    <w:rsid w:val="00093AF7"/>
    <w:rsid w:val="00097D37"/>
    <w:rsid w:val="000A2866"/>
    <w:rsid w:val="000A4BEE"/>
    <w:rsid w:val="000C0683"/>
    <w:rsid w:val="000C57D3"/>
    <w:rsid w:val="000E2C84"/>
    <w:rsid w:val="000F3486"/>
    <w:rsid w:val="000F6695"/>
    <w:rsid w:val="000F781F"/>
    <w:rsid w:val="00107955"/>
    <w:rsid w:val="0011077B"/>
    <w:rsid w:val="00141D43"/>
    <w:rsid w:val="001566F7"/>
    <w:rsid w:val="00162AFF"/>
    <w:rsid w:val="001631B2"/>
    <w:rsid w:val="00172989"/>
    <w:rsid w:val="00181589"/>
    <w:rsid w:val="001B096E"/>
    <w:rsid w:val="001B4A53"/>
    <w:rsid w:val="001C078B"/>
    <w:rsid w:val="001D6F36"/>
    <w:rsid w:val="001E1444"/>
    <w:rsid w:val="001F20A2"/>
    <w:rsid w:val="002125EE"/>
    <w:rsid w:val="00217CFA"/>
    <w:rsid w:val="00223434"/>
    <w:rsid w:val="00224129"/>
    <w:rsid w:val="00284C47"/>
    <w:rsid w:val="00285F5C"/>
    <w:rsid w:val="002A6132"/>
    <w:rsid w:val="002B717E"/>
    <w:rsid w:val="002C58EC"/>
    <w:rsid w:val="002D4668"/>
    <w:rsid w:val="002E5710"/>
    <w:rsid w:val="002E5AE4"/>
    <w:rsid w:val="002F4B00"/>
    <w:rsid w:val="00320BF4"/>
    <w:rsid w:val="00341FB6"/>
    <w:rsid w:val="0034502E"/>
    <w:rsid w:val="00355975"/>
    <w:rsid w:val="003608F7"/>
    <w:rsid w:val="00364328"/>
    <w:rsid w:val="003829DB"/>
    <w:rsid w:val="003C3D49"/>
    <w:rsid w:val="003D33DA"/>
    <w:rsid w:val="003D5700"/>
    <w:rsid w:val="003D5C32"/>
    <w:rsid w:val="0041132A"/>
    <w:rsid w:val="004115BD"/>
    <w:rsid w:val="00427FBE"/>
    <w:rsid w:val="004304F1"/>
    <w:rsid w:val="0043395C"/>
    <w:rsid w:val="00446C0D"/>
    <w:rsid w:val="00453AA5"/>
    <w:rsid w:val="00490586"/>
    <w:rsid w:val="00491E20"/>
    <w:rsid w:val="004D11FF"/>
    <w:rsid w:val="004D4962"/>
    <w:rsid w:val="004E7BA2"/>
    <w:rsid w:val="004F66AA"/>
    <w:rsid w:val="00505F20"/>
    <w:rsid w:val="00535A1D"/>
    <w:rsid w:val="00546EA4"/>
    <w:rsid w:val="00561759"/>
    <w:rsid w:val="00584B55"/>
    <w:rsid w:val="005979A1"/>
    <w:rsid w:val="005F1226"/>
    <w:rsid w:val="00601AC6"/>
    <w:rsid w:val="0061078C"/>
    <w:rsid w:val="00612CC0"/>
    <w:rsid w:val="00615BBB"/>
    <w:rsid w:val="00620266"/>
    <w:rsid w:val="006211CC"/>
    <w:rsid w:val="0063021F"/>
    <w:rsid w:val="00646C77"/>
    <w:rsid w:val="00661DAA"/>
    <w:rsid w:val="0069052C"/>
    <w:rsid w:val="00690C8B"/>
    <w:rsid w:val="0069782F"/>
    <w:rsid w:val="006B65B7"/>
    <w:rsid w:val="006C4C38"/>
    <w:rsid w:val="006D2B49"/>
    <w:rsid w:val="006E1363"/>
    <w:rsid w:val="0071025C"/>
    <w:rsid w:val="00720096"/>
    <w:rsid w:val="00762913"/>
    <w:rsid w:val="0077626E"/>
    <w:rsid w:val="00776A16"/>
    <w:rsid w:val="007A3DF5"/>
    <w:rsid w:val="007B3460"/>
    <w:rsid w:val="007C75B3"/>
    <w:rsid w:val="007E0EF9"/>
    <w:rsid w:val="007E6EE8"/>
    <w:rsid w:val="007F3528"/>
    <w:rsid w:val="00805D63"/>
    <w:rsid w:val="00822183"/>
    <w:rsid w:val="00823757"/>
    <w:rsid w:val="00823825"/>
    <w:rsid w:val="00877425"/>
    <w:rsid w:val="00880D6E"/>
    <w:rsid w:val="008D1417"/>
    <w:rsid w:val="008E0AB7"/>
    <w:rsid w:val="008E6C63"/>
    <w:rsid w:val="008F3F9D"/>
    <w:rsid w:val="009435DF"/>
    <w:rsid w:val="00944002"/>
    <w:rsid w:val="0094710B"/>
    <w:rsid w:val="009643D0"/>
    <w:rsid w:val="00986AE7"/>
    <w:rsid w:val="0098749F"/>
    <w:rsid w:val="009874A0"/>
    <w:rsid w:val="0099050A"/>
    <w:rsid w:val="00995808"/>
    <w:rsid w:val="009A1360"/>
    <w:rsid w:val="009C02E6"/>
    <w:rsid w:val="009F3726"/>
    <w:rsid w:val="009F69D6"/>
    <w:rsid w:val="00A00838"/>
    <w:rsid w:val="00A22B1B"/>
    <w:rsid w:val="00A27C2E"/>
    <w:rsid w:val="00A440DC"/>
    <w:rsid w:val="00A4608D"/>
    <w:rsid w:val="00A515F2"/>
    <w:rsid w:val="00A74C4C"/>
    <w:rsid w:val="00AB5EDA"/>
    <w:rsid w:val="00AC6299"/>
    <w:rsid w:val="00AD0F27"/>
    <w:rsid w:val="00AD53CF"/>
    <w:rsid w:val="00AF61BB"/>
    <w:rsid w:val="00B061CA"/>
    <w:rsid w:val="00B21DFC"/>
    <w:rsid w:val="00B273A4"/>
    <w:rsid w:val="00B61689"/>
    <w:rsid w:val="00B75B61"/>
    <w:rsid w:val="00B87DEC"/>
    <w:rsid w:val="00BB25C2"/>
    <w:rsid w:val="00BB7ADB"/>
    <w:rsid w:val="00BC33FA"/>
    <w:rsid w:val="00BD73D7"/>
    <w:rsid w:val="00BD765E"/>
    <w:rsid w:val="00BE40D7"/>
    <w:rsid w:val="00BE602A"/>
    <w:rsid w:val="00BF6233"/>
    <w:rsid w:val="00BF6560"/>
    <w:rsid w:val="00C0016D"/>
    <w:rsid w:val="00C01525"/>
    <w:rsid w:val="00C05A07"/>
    <w:rsid w:val="00C121BD"/>
    <w:rsid w:val="00C35B7E"/>
    <w:rsid w:val="00C523C1"/>
    <w:rsid w:val="00C80F22"/>
    <w:rsid w:val="00CB10EF"/>
    <w:rsid w:val="00CB5BD0"/>
    <w:rsid w:val="00CE32BB"/>
    <w:rsid w:val="00D13587"/>
    <w:rsid w:val="00D36630"/>
    <w:rsid w:val="00D444DB"/>
    <w:rsid w:val="00D5740C"/>
    <w:rsid w:val="00D80A7F"/>
    <w:rsid w:val="00D845F3"/>
    <w:rsid w:val="00D95870"/>
    <w:rsid w:val="00DA7399"/>
    <w:rsid w:val="00DB6BD0"/>
    <w:rsid w:val="00DF66D4"/>
    <w:rsid w:val="00E07679"/>
    <w:rsid w:val="00E13B06"/>
    <w:rsid w:val="00E25625"/>
    <w:rsid w:val="00E33577"/>
    <w:rsid w:val="00E44A4B"/>
    <w:rsid w:val="00E46629"/>
    <w:rsid w:val="00E57CE7"/>
    <w:rsid w:val="00E61370"/>
    <w:rsid w:val="00E774C9"/>
    <w:rsid w:val="00E80145"/>
    <w:rsid w:val="00E861C2"/>
    <w:rsid w:val="00E966D2"/>
    <w:rsid w:val="00EA1B1B"/>
    <w:rsid w:val="00EA6E84"/>
    <w:rsid w:val="00EA7F5E"/>
    <w:rsid w:val="00EB4247"/>
    <w:rsid w:val="00EC754F"/>
    <w:rsid w:val="00ED3E6E"/>
    <w:rsid w:val="00EE1009"/>
    <w:rsid w:val="00EE5B85"/>
    <w:rsid w:val="00EE6345"/>
    <w:rsid w:val="00EF7E00"/>
    <w:rsid w:val="00F06336"/>
    <w:rsid w:val="00F07B65"/>
    <w:rsid w:val="00F32505"/>
    <w:rsid w:val="00F34476"/>
    <w:rsid w:val="00F43286"/>
    <w:rsid w:val="00F55C94"/>
    <w:rsid w:val="00F81FCC"/>
    <w:rsid w:val="00F925B4"/>
    <w:rsid w:val="00FB186B"/>
    <w:rsid w:val="00FC15F1"/>
    <w:rsid w:val="00FC55F2"/>
    <w:rsid w:val="00FD2D11"/>
    <w:rsid w:val="00FD3173"/>
    <w:rsid w:val="00FD35AF"/>
    <w:rsid w:val="00FD6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4AC8-69DF-4EF8-B404-24C40BCA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陳政隆</cp:lastModifiedBy>
  <cp:revision>2</cp:revision>
  <cp:lastPrinted>2016-12-18T10:03:00Z</cp:lastPrinted>
  <dcterms:created xsi:type="dcterms:W3CDTF">2017-01-11T05:43:00Z</dcterms:created>
  <dcterms:modified xsi:type="dcterms:W3CDTF">2017-01-11T05:43:00Z</dcterms:modified>
</cp:coreProperties>
</file>